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imes New Roman"/>
          <w:b w:val="0"/>
          <w:bCs w:val="0"/>
          <w:color w:val="auto"/>
          <w:sz w:val="24"/>
          <w:szCs w:val="24"/>
          <w:lang w:val="en-GB"/>
        </w:rPr>
        <w:id w:val="-1817095976"/>
        <w:docPartObj>
          <w:docPartGallery w:val="Table of Contents"/>
          <w:docPartUnique/>
        </w:docPartObj>
      </w:sdtPr>
      <w:sdtEndPr>
        <w:rPr>
          <w:noProof/>
        </w:rPr>
      </w:sdtEndPr>
      <w:sdtContent>
        <w:p w14:paraId="4E7937CC" w14:textId="7B962367" w:rsidR="00EB0C72" w:rsidRPr="00EB0C72" w:rsidRDefault="00EB0C72">
          <w:pPr>
            <w:pStyle w:val="TOCHeading"/>
            <w:rPr>
              <w:rFonts w:ascii="Times New Roman" w:hAnsi="Times New Roman" w:cs="Times New Roman"/>
            </w:rPr>
          </w:pPr>
          <w:r w:rsidRPr="00EB0C72">
            <w:rPr>
              <w:rFonts w:ascii="Times New Roman" w:hAnsi="Times New Roman" w:cs="Times New Roman"/>
            </w:rPr>
            <w:t>Table of Contents</w:t>
          </w:r>
        </w:p>
        <w:p w14:paraId="4374EA5A" w14:textId="2507683D" w:rsidR="00EB0C72" w:rsidRPr="00EB0C72" w:rsidRDefault="00EB0C72">
          <w:pPr>
            <w:pStyle w:val="TOC1"/>
            <w:tabs>
              <w:tab w:val="left" w:pos="480"/>
              <w:tab w:val="right" w:leader="dot" w:pos="9016"/>
            </w:tabs>
            <w:rPr>
              <w:rFonts w:ascii="Times New Roman" w:eastAsiaTheme="minorEastAsia" w:hAnsi="Times New Roman" w:cs="Times New Roman"/>
              <w:b w:val="0"/>
              <w:bCs w:val="0"/>
              <w:caps w:val="0"/>
              <w:noProof/>
              <w:sz w:val="24"/>
              <w:szCs w:val="24"/>
              <w:lang w:val="en-NZ" w:eastAsia="en-GB"/>
            </w:rPr>
          </w:pPr>
          <w:r w:rsidRPr="00EB0C72">
            <w:rPr>
              <w:rFonts w:ascii="Times New Roman" w:hAnsi="Times New Roman" w:cs="Times New Roman"/>
              <w:b w:val="0"/>
              <w:bCs w:val="0"/>
            </w:rPr>
            <w:fldChar w:fldCharType="begin"/>
          </w:r>
          <w:r w:rsidRPr="00EB0C72">
            <w:rPr>
              <w:rFonts w:ascii="Times New Roman" w:hAnsi="Times New Roman" w:cs="Times New Roman"/>
            </w:rPr>
            <w:instrText xml:space="preserve"> TOC \o "1-3" \h \z \u </w:instrText>
          </w:r>
          <w:r w:rsidRPr="00EB0C72">
            <w:rPr>
              <w:rFonts w:ascii="Times New Roman" w:hAnsi="Times New Roman" w:cs="Times New Roman"/>
              <w:b w:val="0"/>
              <w:bCs w:val="0"/>
            </w:rPr>
            <w:fldChar w:fldCharType="separate"/>
          </w:r>
          <w:hyperlink w:anchor="_Toc92724709" w:history="1">
            <w:r w:rsidRPr="00EB0C72">
              <w:rPr>
                <w:rStyle w:val="Hyperlink"/>
                <w:rFonts w:ascii="Times New Roman" w:hAnsi="Times New Roman" w:cs="Times New Roman"/>
                <w:noProof/>
              </w:rPr>
              <w:t>I.</w:t>
            </w:r>
            <w:r w:rsidRPr="00EB0C72">
              <w:rPr>
                <w:rFonts w:ascii="Times New Roman" w:eastAsiaTheme="minorEastAsia" w:hAnsi="Times New Roman" w:cs="Times New Roman"/>
                <w:b w:val="0"/>
                <w:bCs w:val="0"/>
                <w:caps w:val="0"/>
                <w:noProof/>
                <w:sz w:val="24"/>
                <w:szCs w:val="24"/>
                <w:lang w:val="en-NZ" w:eastAsia="en-GB"/>
              </w:rPr>
              <w:tab/>
            </w:r>
            <w:r w:rsidRPr="00EB0C72">
              <w:rPr>
                <w:rStyle w:val="Hyperlink"/>
                <w:rFonts w:ascii="Times New Roman" w:hAnsi="Times New Roman" w:cs="Times New Roman"/>
                <w:noProof/>
              </w:rPr>
              <w:t>Part One</w:t>
            </w:r>
            <w:r w:rsidRPr="00EB0C72">
              <w:rPr>
                <w:rFonts w:ascii="Times New Roman" w:hAnsi="Times New Roman" w:cs="Times New Roman"/>
                <w:noProof/>
                <w:webHidden/>
              </w:rPr>
              <w:tab/>
            </w:r>
            <w:r w:rsidRPr="00EB0C72">
              <w:rPr>
                <w:rFonts w:ascii="Times New Roman" w:hAnsi="Times New Roman" w:cs="Times New Roman"/>
                <w:noProof/>
                <w:webHidden/>
              </w:rPr>
              <w:fldChar w:fldCharType="begin"/>
            </w:r>
            <w:r w:rsidRPr="00EB0C72">
              <w:rPr>
                <w:rFonts w:ascii="Times New Roman" w:hAnsi="Times New Roman" w:cs="Times New Roman"/>
                <w:noProof/>
                <w:webHidden/>
              </w:rPr>
              <w:instrText xml:space="preserve"> PAGEREF _Toc92724709 \h </w:instrText>
            </w:r>
            <w:r w:rsidRPr="00EB0C72">
              <w:rPr>
                <w:rFonts w:ascii="Times New Roman" w:hAnsi="Times New Roman" w:cs="Times New Roman"/>
                <w:noProof/>
                <w:webHidden/>
              </w:rPr>
            </w:r>
            <w:r w:rsidRPr="00EB0C72">
              <w:rPr>
                <w:rFonts w:ascii="Times New Roman" w:hAnsi="Times New Roman" w:cs="Times New Roman"/>
                <w:noProof/>
                <w:webHidden/>
              </w:rPr>
              <w:fldChar w:fldCharType="separate"/>
            </w:r>
            <w:r w:rsidRPr="00EB0C72">
              <w:rPr>
                <w:rFonts w:ascii="Times New Roman" w:hAnsi="Times New Roman" w:cs="Times New Roman"/>
                <w:noProof/>
                <w:webHidden/>
              </w:rPr>
              <w:t>1</w:t>
            </w:r>
            <w:r w:rsidRPr="00EB0C72">
              <w:rPr>
                <w:rFonts w:ascii="Times New Roman" w:hAnsi="Times New Roman" w:cs="Times New Roman"/>
                <w:noProof/>
                <w:webHidden/>
              </w:rPr>
              <w:fldChar w:fldCharType="end"/>
            </w:r>
          </w:hyperlink>
        </w:p>
        <w:p w14:paraId="774F68DE" w14:textId="789A5969" w:rsidR="00EB0C72" w:rsidRPr="00EB0C72" w:rsidRDefault="00BA2808">
          <w:pPr>
            <w:pStyle w:val="TOC2"/>
            <w:tabs>
              <w:tab w:val="left" w:pos="720"/>
              <w:tab w:val="right" w:leader="dot" w:pos="9016"/>
            </w:tabs>
            <w:rPr>
              <w:rFonts w:ascii="Times New Roman" w:eastAsiaTheme="minorEastAsia" w:hAnsi="Times New Roman" w:cs="Times New Roman"/>
              <w:smallCaps w:val="0"/>
              <w:noProof/>
              <w:sz w:val="24"/>
              <w:szCs w:val="24"/>
              <w:lang w:val="en-NZ" w:eastAsia="en-GB"/>
            </w:rPr>
          </w:pPr>
          <w:hyperlink w:anchor="_Toc92724710" w:history="1">
            <w:r w:rsidR="00EB0C72" w:rsidRPr="00EB0C72">
              <w:rPr>
                <w:rStyle w:val="Hyperlink"/>
                <w:rFonts w:ascii="Times New Roman" w:hAnsi="Times New Roman" w:cs="Times New Roman"/>
                <w:noProof/>
              </w:rPr>
              <w:t>A</w:t>
            </w:r>
            <w:r w:rsidR="00EB0C72" w:rsidRPr="00EB0C72">
              <w:rPr>
                <w:rFonts w:ascii="Times New Roman" w:eastAsiaTheme="minorEastAsia" w:hAnsi="Times New Roman" w:cs="Times New Roman"/>
                <w:smallCaps w:val="0"/>
                <w:noProof/>
                <w:sz w:val="24"/>
                <w:szCs w:val="24"/>
                <w:lang w:val="en-NZ" w:eastAsia="en-GB"/>
              </w:rPr>
              <w:tab/>
            </w:r>
            <w:r w:rsidR="00EB0C72" w:rsidRPr="00EB0C72">
              <w:rPr>
                <w:rStyle w:val="Hyperlink"/>
                <w:rFonts w:ascii="Times New Roman" w:hAnsi="Times New Roman" w:cs="Times New Roman"/>
                <w:noProof/>
              </w:rPr>
              <w:t>What is ILO Convention 190?</w:t>
            </w:r>
            <w:r w:rsidR="00EB0C72" w:rsidRPr="00EB0C72">
              <w:rPr>
                <w:rFonts w:ascii="Times New Roman" w:hAnsi="Times New Roman" w:cs="Times New Roman"/>
                <w:noProof/>
                <w:webHidden/>
              </w:rPr>
              <w:tab/>
            </w:r>
            <w:r w:rsidR="00EB0C72" w:rsidRPr="00EB0C72">
              <w:rPr>
                <w:rFonts w:ascii="Times New Roman" w:hAnsi="Times New Roman" w:cs="Times New Roman"/>
                <w:noProof/>
                <w:webHidden/>
              </w:rPr>
              <w:fldChar w:fldCharType="begin"/>
            </w:r>
            <w:r w:rsidR="00EB0C72" w:rsidRPr="00EB0C72">
              <w:rPr>
                <w:rFonts w:ascii="Times New Roman" w:hAnsi="Times New Roman" w:cs="Times New Roman"/>
                <w:noProof/>
                <w:webHidden/>
              </w:rPr>
              <w:instrText xml:space="preserve"> PAGEREF _Toc92724710 \h </w:instrText>
            </w:r>
            <w:r w:rsidR="00EB0C72" w:rsidRPr="00EB0C72">
              <w:rPr>
                <w:rFonts w:ascii="Times New Roman" w:hAnsi="Times New Roman" w:cs="Times New Roman"/>
                <w:noProof/>
                <w:webHidden/>
              </w:rPr>
            </w:r>
            <w:r w:rsidR="00EB0C72" w:rsidRPr="00EB0C72">
              <w:rPr>
                <w:rFonts w:ascii="Times New Roman" w:hAnsi="Times New Roman" w:cs="Times New Roman"/>
                <w:noProof/>
                <w:webHidden/>
              </w:rPr>
              <w:fldChar w:fldCharType="separate"/>
            </w:r>
            <w:r w:rsidR="00EB0C72" w:rsidRPr="00EB0C72">
              <w:rPr>
                <w:rFonts w:ascii="Times New Roman" w:hAnsi="Times New Roman" w:cs="Times New Roman"/>
                <w:noProof/>
                <w:webHidden/>
              </w:rPr>
              <w:t>1</w:t>
            </w:r>
            <w:r w:rsidR="00EB0C72" w:rsidRPr="00EB0C72">
              <w:rPr>
                <w:rFonts w:ascii="Times New Roman" w:hAnsi="Times New Roman" w:cs="Times New Roman"/>
                <w:noProof/>
                <w:webHidden/>
              </w:rPr>
              <w:fldChar w:fldCharType="end"/>
            </w:r>
          </w:hyperlink>
        </w:p>
        <w:p w14:paraId="3C76F540" w14:textId="1F4234DD" w:rsidR="00EB0C72" w:rsidRPr="00EB0C72" w:rsidRDefault="00BA2808">
          <w:pPr>
            <w:pStyle w:val="TOC2"/>
            <w:tabs>
              <w:tab w:val="left" w:pos="720"/>
              <w:tab w:val="right" w:leader="dot" w:pos="9016"/>
            </w:tabs>
            <w:rPr>
              <w:rFonts w:ascii="Times New Roman" w:eastAsiaTheme="minorEastAsia" w:hAnsi="Times New Roman" w:cs="Times New Roman"/>
              <w:smallCaps w:val="0"/>
              <w:noProof/>
              <w:sz w:val="24"/>
              <w:szCs w:val="24"/>
              <w:lang w:val="en-NZ" w:eastAsia="en-GB"/>
            </w:rPr>
          </w:pPr>
          <w:hyperlink w:anchor="_Toc92724711" w:history="1">
            <w:r w:rsidR="00EB0C72" w:rsidRPr="00EB0C72">
              <w:rPr>
                <w:rStyle w:val="Hyperlink"/>
                <w:rFonts w:ascii="Times New Roman" w:hAnsi="Times New Roman" w:cs="Times New Roman"/>
                <w:noProof/>
              </w:rPr>
              <w:t>B</w:t>
            </w:r>
            <w:r w:rsidR="00EB0C72" w:rsidRPr="00EB0C72">
              <w:rPr>
                <w:rFonts w:ascii="Times New Roman" w:eastAsiaTheme="minorEastAsia" w:hAnsi="Times New Roman" w:cs="Times New Roman"/>
                <w:smallCaps w:val="0"/>
                <w:noProof/>
                <w:sz w:val="24"/>
                <w:szCs w:val="24"/>
                <w:lang w:val="en-NZ" w:eastAsia="en-GB"/>
              </w:rPr>
              <w:tab/>
            </w:r>
            <w:r w:rsidR="00EB0C72" w:rsidRPr="00EB0C72">
              <w:rPr>
                <w:rStyle w:val="Hyperlink"/>
                <w:rFonts w:ascii="Times New Roman" w:hAnsi="Times New Roman" w:cs="Times New Roman"/>
                <w:noProof/>
              </w:rPr>
              <w:t>Why is it so Ground-Breaking?</w:t>
            </w:r>
            <w:r w:rsidR="00EB0C72" w:rsidRPr="00EB0C72">
              <w:rPr>
                <w:rFonts w:ascii="Times New Roman" w:hAnsi="Times New Roman" w:cs="Times New Roman"/>
                <w:noProof/>
                <w:webHidden/>
              </w:rPr>
              <w:tab/>
            </w:r>
            <w:r w:rsidR="00EB0C72" w:rsidRPr="00EB0C72">
              <w:rPr>
                <w:rFonts w:ascii="Times New Roman" w:hAnsi="Times New Roman" w:cs="Times New Roman"/>
                <w:noProof/>
                <w:webHidden/>
              </w:rPr>
              <w:fldChar w:fldCharType="begin"/>
            </w:r>
            <w:r w:rsidR="00EB0C72" w:rsidRPr="00EB0C72">
              <w:rPr>
                <w:rFonts w:ascii="Times New Roman" w:hAnsi="Times New Roman" w:cs="Times New Roman"/>
                <w:noProof/>
                <w:webHidden/>
              </w:rPr>
              <w:instrText xml:space="preserve"> PAGEREF _Toc92724711 \h </w:instrText>
            </w:r>
            <w:r w:rsidR="00EB0C72" w:rsidRPr="00EB0C72">
              <w:rPr>
                <w:rFonts w:ascii="Times New Roman" w:hAnsi="Times New Roman" w:cs="Times New Roman"/>
                <w:noProof/>
                <w:webHidden/>
              </w:rPr>
            </w:r>
            <w:r w:rsidR="00EB0C72" w:rsidRPr="00EB0C72">
              <w:rPr>
                <w:rFonts w:ascii="Times New Roman" w:hAnsi="Times New Roman" w:cs="Times New Roman"/>
                <w:noProof/>
                <w:webHidden/>
              </w:rPr>
              <w:fldChar w:fldCharType="separate"/>
            </w:r>
            <w:r w:rsidR="00EB0C72" w:rsidRPr="00EB0C72">
              <w:rPr>
                <w:rFonts w:ascii="Times New Roman" w:hAnsi="Times New Roman" w:cs="Times New Roman"/>
                <w:noProof/>
                <w:webHidden/>
              </w:rPr>
              <w:t>2</w:t>
            </w:r>
            <w:r w:rsidR="00EB0C72" w:rsidRPr="00EB0C72">
              <w:rPr>
                <w:rFonts w:ascii="Times New Roman" w:hAnsi="Times New Roman" w:cs="Times New Roman"/>
                <w:noProof/>
                <w:webHidden/>
              </w:rPr>
              <w:fldChar w:fldCharType="end"/>
            </w:r>
          </w:hyperlink>
        </w:p>
        <w:p w14:paraId="3AAB619B" w14:textId="0B210350" w:rsidR="00EB0C72" w:rsidRPr="00EB0C72" w:rsidRDefault="00BA2808">
          <w:pPr>
            <w:pStyle w:val="TOC2"/>
            <w:tabs>
              <w:tab w:val="left" w:pos="720"/>
              <w:tab w:val="right" w:leader="dot" w:pos="9016"/>
            </w:tabs>
            <w:rPr>
              <w:rFonts w:ascii="Times New Roman" w:eastAsiaTheme="minorEastAsia" w:hAnsi="Times New Roman" w:cs="Times New Roman"/>
              <w:smallCaps w:val="0"/>
              <w:noProof/>
              <w:sz w:val="24"/>
              <w:szCs w:val="24"/>
              <w:lang w:val="en-NZ" w:eastAsia="en-GB"/>
            </w:rPr>
          </w:pPr>
          <w:hyperlink w:anchor="_Toc92724712" w:history="1">
            <w:r w:rsidR="00EB0C72" w:rsidRPr="00EB0C72">
              <w:rPr>
                <w:rStyle w:val="Hyperlink"/>
                <w:rFonts w:ascii="Times New Roman" w:hAnsi="Times New Roman" w:cs="Times New Roman"/>
                <w:noProof/>
              </w:rPr>
              <w:t>C</w:t>
            </w:r>
            <w:r w:rsidR="00EB0C72" w:rsidRPr="00EB0C72">
              <w:rPr>
                <w:rFonts w:ascii="Times New Roman" w:eastAsiaTheme="minorEastAsia" w:hAnsi="Times New Roman" w:cs="Times New Roman"/>
                <w:smallCaps w:val="0"/>
                <w:noProof/>
                <w:sz w:val="24"/>
                <w:szCs w:val="24"/>
                <w:lang w:val="en-NZ" w:eastAsia="en-GB"/>
              </w:rPr>
              <w:tab/>
            </w:r>
            <w:r w:rsidR="00EB0C72" w:rsidRPr="00EB0C72">
              <w:rPr>
                <w:rStyle w:val="Hyperlink"/>
                <w:rFonts w:ascii="Times New Roman" w:hAnsi="Times New Roman" w:cs="Times New Roman"/>
                <w:noProof/>
              </w:rPr>
              <w:t>What Obligations does it Create?</w:t>
            </w:r>
            <w:r w:rsidR="00EB0C72" w:rsidRPr="00EB0C72">
              <w:rPr>
                <w:rFonts w:ascii="Times New Roman" w:hAnsi="Times New Roman" w:cs="Times New Roman"/>
                <w:noProof/>
                <w:webHidden/>
              </w:rPr>
              <w:tab/>
            </w:r>
            <w:r w:rsidR="00EB0C72" w:rsidRPr="00EB0C72">
              <w:rPr>
                <w:rFonts w:ascii="Times New Roman" w:hAnsi="Times New Roman" w:cs="Times New Roman"/>
                <w:noProof/>
                <w:webHidden/>
              </w:rPr>
              <w:fldChar w:fldCharType="begin"/>
            </w:r>
            <w:r w:rsidR="00EB0C72" w:rsidRPr="00EB0C72">
              <w:rPr>
                <w:rFonts w:ascii="Times New Roman" w:hAnsi="Times New Roman" w:cs="Times New Roman"/>
                <w:noProof/>
                <w:webHidden/>
              </w:rPr>
              <w:instrText xml:space="preserve"> PAGEREF _Toc92724712 \h </w:instrText>
            </w:r>
            <w:r w:rsidR="00EB0C72" w:rsidRPr="00EB0C72">
              <w:rPr>
                <w:rFonts w:ascii="Times New Roman" w:hAnsi="Times New Roman" w:cs="Times New Roman"/>
                <w:noProof/>
                <w:webHidden/>
              </w:rPr>
            </w:r>
            <w:r w:rsidR="00EB0C72" w:rsidRPr="00EB0C72">
              <w:rPr>
                <w:rFonts w:ascii="Times New Roman" w:hAnsi="Times New Roman" w:cs="Times New Roman"/>
                <w:noProof/>
                <w:webHidden/>
              </w:rPr>
              <w:fldChar w:fldCharType="separate"/>
            </w:r>
            <w:r w:rsidR="00EB0C72" w:rsidRPr="00EB0C72">
              <w:rPr>
                <w:rFonts w:ascii="Times New Roman" w:hAnsi="Times New Roman" w:cs="Times New Roman"/>
                <w:noProof/>
                <w:webHidden/>
              </w:rPr>
              <w:t>4</w:t>
            </w:r>
            <w:r w:rsidR="00EB0C72" w:rsidRPr="00EB0C72">
              <w:rPr>
                <w:rFonts w:ascii="Times New Roman" w:hAnsi="Times New Roman" w:cs="Times New Roman"/>
                <w:noProof/>
                <w:webHidden/>
              </w:rPr>
              <w:fldChar w:fldCharType="end"/>
            </w:r>
          </w:hyperlink>
        </w:p>
        <w:p w14:paraId="5BCC4A7A" w14:textId="039CEE8F" w:rsidR="00EB0C72" w:rsidRPr="00EB0C72" w:rsidRDefault="00BA2808">
          <w:pPr>
            <w:pStyle w:val="TOC1"/>
            <w:tabs>
              <w:tab w:val="left" w:pos="480"/>
              <w:tab w:val="right" w:leader="dot" w:pos="9016"/>
            </w:tabs>
            <w:rPr>
              <w:rFonts w:ascii="Times New Roman" w:eastAsiaTheme="minorEastAsia" w:hAnsi="Times New Roman" w:cs="Times New Roman"/>
              <w:b w:val="0"/>
              <w:bCs w:val="0"/>
              <w:caps w:val="0"/>
              <w:noProof/>
              <w:sz w:val="24"/>
              <w:szCs w:val="24"/>
              <w:lang w:val="en-NZ" w:eastAsia="en-GB"/>
            </w:rPr>
          </w:pPr>
          <w:hyperlink w:anchor="_Toc92724713" w:history="1">
            <w:r w:rsidR="00EB0C72" w:rsidRPr="00EB0C72">
              <w:rPr>
                <w:rStyle w:val="Hyperlink"/>
                <w:rFonts w:ascii="Times New Roman" w:hAnsi="Times New Roman" w:cs="Times New Roman"/>
                <w:noProof/>
              </w:rPr>
              <w:t>II.</w:t>
            </w:r>
            <w:r w:rsidR="00EB0C72" w:rsidRPr="00EB0C72">
              <w:rPr>
                <w:rFonts w:ascii="Times New Roman" w:eastAsiaTheme="minorEastAsia" w:hAnsi="Times New Roman" w:cs="Times New Roman"/>
                <w:b w:val="0"/>
                <w:bCs w:val="0"/>
                <w:caps w:val="0"/>
                <w:noProof/>
                <w:sz w:val="24"/>
                <w:szCs w:val="24"/>
                <w:lang w:val="en-NZ" w:eastAsia="en-GB"/>
              </w:rPr>
              <w:tab/>
            </w:r>
            <w:r w:rsidR="00EB0C72" w:rsidRPr="00EB0C72">
              <w:rPr>
                <w:rStyle w:val="Hyperlink"/>
                <w:rFonts w:ascii="Times New Roman" w:hAnsi="Times New Roman" w:cs="Times New Roman"/>
                <w:noProof/>
              </w:rPr>
              <w:t>Part Two</w:t>
            </w:r>
            <w:r w:rsidR="00EB0C72" w:rsidRPr="00EB0C72">
              <w:rPr>
                <w:rFonts w:ascii="Times New Roman" w:hAnsi="Times New Roman" w:cs="Times New Roman"/>
                <w:noProof/>
                <w:webHidden/>
              </w:rPr>
              <w:tab/>
            </w:r>
            <w:r w:rsidR="00EB0C72" w:rsidRPr="00EB0C72">
              <w:rPr>
                <w:rFonts w:ascii="Times New Roman" w:hAnsi="Times New Roman" w:cs="Times New Roman"/>
                <w:noProof/>
                <w:webHidden/>
              </w:rPr>
              <w:fldChar w:fldCharType="begin"/>
            </w:r>
            <w:r w:rsidR="00EB0C72" w:rsidRPr="00EB0C72">
              <w:rPr>
                <w:rFonts w:ascii="Times New Roman" w:hAnsi="Times New Roman" w:cs="Times New Roman"/>
                <w:noProof/>
                <w:webHidden/>
              </w:rPr>
              <w:instrText xml:space="preserve"> PAGEREF _Toc92724713 \h </w:instrText>
            </w:r>
            <w:r w:rsidR="00EB0C72" w:rsidRPr="00EB0C72">
              <w:rPr>
                <w:rFonts w:ascii="Times New Roman" w:hAnsi="Times New Roman" w:cs="Times New Roman"/>
                <w:noProof/>
                <w:webHidden/>
              </w:rPr>
            </w:r>
            <w:r w:rsidR="00EB0C72" w:rsidRPr="00EB0C72">
              <w:rPr>
                <w:rFonts w:ascii="Times New Roman" w:hAnsi="Times New Roman" w:cs="Times New Roman"/>
                <w:noProof/>
                <w:webHidden/>
              </w:rPr>
              <w:fldChar w:fldCharType="separate"/>
            </w:r>
            <w:r w:rsidR="00EB0C72" w:rsidRPr="00EB0C72">
              <w:rPr>
                <w:rFonts w:ascii="Times New Roman" w:hAnsi="Times New Roman" w:cs="Times New Roman"/>
                <w:noProof/>
                <w:webHidden/>
              </w:rPr>
              <w:t>6</w:t>
            </w:r>
            <w:r w:rsidR="00EB0C72" w:rsidRPr="00EB0C72">
              <w:rPr>
                <w:rFonts w:ascii="Times New Roman" w:hAnsi="Times New Roman" w:cs="Times New Roman"/>
                <w:noProof/>
                <w:webHidden/>
              </w:rPr>
              <w:fldChar w:fldCharType="end"/>
            </w:r>
          </w:hyperlink>
        </w:p>
        <w:p w14:paraId="47521BFD" w14:textId="3FF064F9" w:rsidR="00EB0C72" w:rsidRPr="00EB0C72" w:rsidRDefault="00BA2808">
          <w:pPr>
            <w:pStyle w:val="TOC2"/>
            <w:tabs>
              <w:tab w:val="left" w:pos="720"/>
              <w:tab w:val="right" w:leader="dot" w:pos="9016"/>
            </w:tabs>
            <w:rPr>
              <w:rFonts w:ascii="Times New Roman" w:eastAsiaTheme="minorEastAsia" w:hAnsi="Times New Roman" w:cs="Times New Roman"/>
              <w:smallCaps w:val="0"/>
              <w:noProof/>
              <w:sz w:val="24"/>
              <w:szCs w:val="24"/>
              <w:lang w:val="en-NZ" w:eastAsia="en-GB"/>
            </w:rPr>
          </w:pPr>
          <w:hyperlink w:anchor="_Toc92724714" w:history="1">
            <w:r w:rsidR="00EB0C72" w:rsidRPr="00EB0C72">
              <w:rPr>
                <w:rStyle w:val="Hyperlink"/>
                <w:rFonts w:ascii="Times New Roman" w:hAnsi="Times New Roman" w:cs="Times New Roman"/>
                <w:noProof/>
              </w:rPr>
              <w:t>A</w:t>
            </w:r>
            <w:r w:rsidR="00EB0C72" w:rsidRPr="00EB0C72">
              <w:rPr>
                <w:rFonts w:ascii="Times New Roman" w:eastAsiaTheme="minorEastAsia" w:hAnsi="Times New Roman" w:cs="Times New Roman"/>
                <w:smallCaps w:val="0"/>
                <w:noProof/>
                <w:sz w:val="24"/>
                <w:szCs w:val="24"/>
                <w:lang w:val="en-NZ" w:eastAsia="en-GB"/>
              </w:rPr>
              <w:tab/>
            </w:r>
            <w:r w:rsidR="00EB0C72" w:rsidRPr="00EB0C72">
              <w:rPr>
                <w:rStyle w:val="Hyperlink"/>
                <w:rFonts w:ascii="Times New Roman" w:hAnsi="Times New Roman" w:cs="Times New Roman"/>
                <w:noProof/>
              </w:rPr>
              <w:t>New Zealand’s Lack of Ratification</w:t>
            </w:r>
            <w:r w:rsidR="00EB0C72" w:rsidRPr="00EB0C72">
              <w:rPr>
                <w:rFonts w:ascii="Times New Roman" w:hAnsi="Times New Roman" w:cs="Times New Roman"/>
                <w:noProof/>
                <w:webHidden/>
              </w:rPr>
              <w:tab/>
            </w:r>
            <w:r w:rsidR="00EB0C72" w:rsidRPr="00EB0C72">
              <w:rPr>
                <w:rFonts w:ascii="Times New Roman" w:hAnsi="Times New Roman" w:cs="Times New Roman"/>
                <w:noProof/>
                <w:webHidden/>
              </w:rPr>
              <w:fldChar w:fldCharType="begin"/>
            </w:r>
            <w:r w:rsidR="00EB0C72" w:rsidRPr="00EB0C72">
              <w:rPr>
                <w:rFonts w:ascii="Times New Roman" w:hAnsi="Times New Roman" w:cs="Times New Roman"/>
                <w:noProof/>
                <w:webHidden/>
              </w:rPr>
              <w:instrText xml:space="preserve"> PAGEREF _Toc92724714 \h </w:instrText>
            </w:r>
            <w:r w:rsidR="00EB0C72" w:rsidRPr="00EB0C72">
              <w:rPr>
                <w:rFonts w:ascii="Times New Roman" w:hAnsi="Times New Roman" w:cs="Times New Roman"/>
                <w:noProof/>
                <w:webHidden/>
              </w:rPr>
            </w:r>
            <w:r w:rsidR="00EB0C72" w:rsidRPr="00EB0C72">
              <w:rPr>
                <w:rFonts w:ascii="Times New Roman" w:hAnsi="Times New Roman" w:cs="Times New Roman"/>
                <w:noProof/>
                <w:webHidden/>
              </w:rPr>
              <w:fldChar w:fldCharType="separate"/>
            </w:r>
            <w:r w:rsidR="00EB0C72" w:rsidRPr="00EB0C72">
              <w:rPr>
                <w:rFonts w:ascii="Times New Roman" w:hAnsi="Times New Roman" w:cs="Times New Roman"/>
                <w:noProof/>
                <w:webHidden/>
              </w:rPr>
              <w:t>6</w:t>
            </w:r>
            <w:r w:rsidR="00EB0C72" w:rsidRPr="00EB0C72">
              <w:rPr>
                <w:rFonts w:ascii="Times New Roman" w:hAnsi="Times New Roman" w:cs="Times New Roman"/>
                <w:noProof/>
                <w:webHidden/>
              </w:rPr>
              <w:fldChar w:fldCharType="end"/>
            </w:r>
          </w:hyperlink>
        </w:p>
        <w:p w14:paraId="34088171" w14:textId="75CF1AE9" w:rsidR="00EB0C72" w:rsidRPr="00EB0C72" w:rsidRDefault="00BA2808">
          <w:pPr>
            <w:pStyle w:val="TOC2"/>
            <w:tabs>
              <w:tab w:val="left" w:pos="720"/>
              <w:tab w:val="right" w:leader="dot" w:pos="9016"/>
            </w:tabs>
            <w:rPr>
              <w:rFonts w:ascii="Times New Roman" w:eastAsiaTheme="minorEastAsia" w:hAnsi="Times New Roman" w:cs="Times New Roman"/>
              <w:smallCaps w:val="0"/>
              <w:noProof/>
              <w:sz w:val="24"/>
              <w:szCs w:val="24"/>
              <w:lang w:val="en-NZ" w:eastAsia="en-GB"/>
            </w:rPr>
          </w:pPr>
          <w:hyperlink w:anchor="_Toc92724715" w:history="1">
            <w:r w:rsidR="00EB0C72" w:rsidRPr="00EB0C72">
              <w:rPr>
                <w:rStyle w:val="Hyperlink"/>
                <w:rFonts w:ascii="Times New Roman" w:hAnsi="Times New Roman" w:cs="Times New Roman"/>
                <w:noProof/>
                <w:lang w:val="en-NZ"/>
              </w:rPr>
              <w:t>B</w:t>
            </w:r>
            <w:r w:rsidR="00EB0C72" w:rsidRPr="00EB0C72">
              <w:rPr>
                <w:rFonts w:ascii="Times New Roman" w:eastAsiaTheme="minorEastAsia" w:hAnsi="Times New Roman" w:cs="Times New Roman"/>
                <w:smallCaps w:val="0"/>
                <w:noProof/>
                <w:sz w:val="24"/>
                <w:szCs w:val="24"/>
                <w:lang w:val="en-NZ" w:eastAsia="en-GB"/>
              </w:rPr>
              <w:tab/>
            </w:r>
            <w:r w:rsidR="00EB0C72" w:rsidRPr="00EB0C72">
              <w:rPr>
                <w:rStyle w:val="Hyperlink"/>
                <w:rFonts w:ascii="Times New Roman" w:hAnsi="Times New Roman" w:cs="Times New Roman"/>
                <w:noProof/>
                <w:lang w:val="en-NZ"/>
              </w:rPr>
              <w:t>Benefits of Ratifying</w:t>
            </w:r>
            <w:r w:rsidR="00EB0C72" w:rsidRPr="00EB0C72">
              <w:rPr>
                <w:rFonts w:ascii="Times New Roman" w:hAnsi="Times New Roman" w:cs="Times New Roman"/>
                <w:noProof/>
                <w:webHidden/>
              </w:rPr>
              <w:tab/>
            </w:r>
            <w:r w:rsidR="00EB0C72" w:rsidRPr="00EB0C72">
              <w:rPr>
                <w:rFonts w:ascii="Times New Roman" w:hAnsi="Times New Roman" w:cs="Times New Roman"/>
                <w:noProof/>
                <w:webHidden/>
              </w:rPr>
              <w:fldChar w:fldCharType="begin"/>
            </w:r>
            <w:r w:rsidR="00EB0C72" w:rsidRPr="00EB0C72">
              <w:rPr>
                <w:rFonts w:ascii="Times New Roman" w:hAnsi="Times New Roman" w:cs="Times New Roman"/>
                <w:noProof/>
                <w:webHidden/>
              </w:rPr>
              <w:instrText xml:space="preserve"> PAGEREF _Toc92724715 \h </w:instrText>
            </w:r>
            <w:r w:rsidR="00EB0C72" w:rsidRPr="00EB0C72">
              <w:rPr>
                <w:rFonts w:ascii="Times New Roman" w:hAnsi="Times New Roman" w:cs="Times New Roman"/>
                <w:noProof/>
                <w:webHidden/>
              </w:rPr>
            </w:r>
            <w:r w:rsidR="00EB0C72" w:rsidRPr="00EB0C72">
              <w:rPr>
                <w:rFonts w:ascii="Times New Roman" w:hAnsi="Times New Roman" w:cs="Times New Roman"/>
                <w:noProof/>
                <w:webHidden/>
              </w:rPr>
              <w:fldChar w:fldCharType="separate"/>
            </w:r>
            <w:r w:rsidR="00EB0C72" w:rsidRPr="00EB0C72">
              <w:rPr>
                <w:rFonts w:ascii="Times New Roman" w:hAnsi="Times New Roman" w:cs="Times New Roman"/>
                <w:noProof/>
                <w:webHidden/>
              </w:rPr>
              <w:t>9</w:t>
            </w:r>
            <w:r w:rsidR="00EB0C72" w:rsidRPr="00EB0C72">
              <w:rPr>
                <w:rFonts w:ascii="Times New Roman" w:hAnsi="Times New Roman" w:cs="Times New Roman"/>
                <w:noProof/>
                <w:webHidden/>
              </w:rPr>
              <w:fldChar w:fldCharType="end"/>
            </w:r>
          </w:hyperlink>
        </w:p>
        <w:p w14:paraId="455A9F4C" w14:textId="2B5175BC" w:rsidR="00EB0C72" w:rsidRPr="00EB0C72" w:rsidRDefault="00BA2808">
          <w:pPr>
            <w:pStyle w:val="TOC2"/>
            <w:tabs>
              <w:tab w:val="left" w:pos="720"/>
              <w:tab w:val="right" w:leader="dot" w:pos="9016"/>
            </w:tabs>
            <w:rPr>
              <w:rFonts w:ascii="Times New Roman" w:eastAsiaTheme="minorEastAsia" w:hAnsi="Times New Roman" w:cs="Times New Roman"/>
              <w:smallCaps w:val="0"/>
              <w:noProof/>
              <w:sz w:val="24"/>
              <w:szCs w:val="24"/>
              <w:lang w:val="en-NZ" w:eastAsia="en-GB"/>
            </w:rPr>
          </w:pPr>
          <w:hyperlink w:anchor="_Toc92724716" w:history="1">
            <w:r w:rsidR="00EB0C72" w:rsidRPr="00EB0C72">
              <w:rPr>
                <w:rStyle w:val="Hyperlink"/>
                <w:rFonts w:ascii="Times New Roman" w:hAnsi="Times New Roman" w:cs="Times New Roman"/>
                <w:noProof/>
                <w:lang w:val="en-NZ"/>
              </w:rPr>
              <w:t>C</w:t>
            </w:r>
            <w:r w:rsidR="00EB0C72" w:rsidRPr="00EB0C72">
              <w:rPr>
                <w:rFonts w:ascii="Times New Roman" w:eastAsiaTheme="minorEastAsia" w:hAnsi="Times New Roman" w:cs="Times New Roman"/>
                <w:smallCaps w:val="0"/>
                <w:noProof/>
                <w:sz w:val="24"/>
                <w:szCs w:val="24"/>
                <w:lang w:val="en-NZ" w:eastAsia="en-GB"/>
              </w:rPr>
              <w:tab/>
            </w:r>
            <w:r w:rsidR="00EB0C72" w:rsidRPr="00EB0C72">
              <w:rPr>
                <w:rStyle w:val="Hyperlink"/>
                <w:rFonts w:ascii="Times New Roman" w:hAnsi="Times New Roman" w:cs="Times New Roman"/>
                <w:noProof/>
                <w:lang w:val="en-NZ"/>
              </w:rPr>
              <w:t>Call for the New Zealand Government</w:t>
            </w:r>
            <w:r w:rsidR="00EB0C72" w:rsidRPr="00EB0C72">
              <w:rPr>
                <w:rFonts w:ascii="Times New Roman" w:hAnsi="Times New Roman" w:cs="Times New Roman"/>
                <w:noProof/>
                <w:webHidden/>
              </w:rPr>
              <w:tab/>
            </w:r>
            <w:r w:rsidR="00EB0C72" w:rsidRPr="00EB0C72">
              <w:rPr>
                <w:rFonts w:ascii="Times New Roman" w:hAnsi="Times New Roman" w:cs="Times New Roman"/>
                <w:noProof/>
                <w:webHidden/>
              </w:rPr>
              <w:fldChar w:fldCharType="begin"/>
            </w:r>
            <w:r w:rsidR="00EB0C72" w:rsidRPr="00EB0C72">
              <w:rPr>
                <w:rFonts w:ascii="Times New Roman" w:hAnsi="Times New Roman" w:cs="Times New Roman"/>
                <w:noProof/>
                <w:webHidden/>
              </w:rPr>
              <w:instrText xml:space="preserve"> PAGEREF _Toc92724716 \h </w:instrText>
            </w:r>
            <w:r w:rsidR="00EB0C72" w:rsidRPr="00EB0C72">
              <w:rPr>
                <w:rFonts w:ascii="Times New Roman" w:hAnsi="Times New Roman" w:cs="Times New Roman"/>
                <w:noProof/>
                <w:webHidden/>
              </w:rPr>
            </w:r>
            <w:r w:rsidR="00EB0C72" w:rsidRPr="00EB0C72">
              <w:rPr>
                <w:rFonts w:ascii="Times New Roman" w:hAnsi="Times New Roman" w:cs="Times New Roman"/>
                <w:noProof/>
                <w:webHidden/>
              </w:rPr>
              <w:fldChar w:fldCharType="separate"/>
            </w:r>
            <w:r w:rsidR="00EB0C72" w:rsidRPr="00EB0C72">
              <w:rPr>
                <w:rFonts w:ascii="Times New Roman" w:hAnsi="Times New Roman" w:cs="Times New Roman"/>
                <w:noProof/>
                <w:webHidden/>
              </w:rPr>
              <w:t>10</w:t>
            </w:r>
            <w:r w:rsidR="00EB0C72" w:rsidRPr="00EB0C72">
              <w:rPr>
                <w:rFonts w:ascii="Times New Roman" w:hAnsi="Times New Roman" w:cs="Times New Roman"/>
                <w:noProof/>
                <w:webHidden/>
              </w:rPr>
              <w:fldChar w:fldCharType="end"/>
            </w:r>
          </w:hyperlink>
        </w:p>
        <w:p w14:paraId="409DF8E2" w14:textId="657044F7" w:rsidR="00EB0C72" w:rsidRPr="00EB0C72" w:rsidRDefault="00BA2808">
          <w:pPr>
            <w:pStyle w:val="TOC3"/>
            <w:tabs>
              <w:tab w:val="left" w:pos="960"/>
              <w:tab w:val="right" w:leader="dot" w:pos="9016"/>
            </w:tabs>
            <w:rPr>
              <w:rFonts w:ascii="Times New Roman" w:eastAsiaTheme="minorEastAsia" w:hAnsi="Times New Roman" w:cs="Times New Roman"/>
              <w:i/>
              <w:iCs/>
              <w:noProof/>
              <w:sz w:val="24"/>
              <w:szCs w:val="24"/>
              <w:lang w:val="en-NZ" w:eastAsia="en-GB"/>
            </w:rPr>
          </w:pPr>
          <w:hyperlink w:anchor="_Toc92724717" w:history="1">
            <w:r w:rsidR="00EB0C72" w:rsidRPr="00EB0C72">
              <w:rPr>
                <w:rStyle w:val="Hyperlink"/>
                <w:rFonts w:ascii="Times New Roman" w:hAnsi="Times New Roman" w:cs="Times New Roman"/>
                <w:noProof/>
                <w:lang w:val="en-NZ"/>
              </w:rPr>
              <w:t>1</w:t>
            </w:r>
            <w:r w:rsidR="00EB0C72" w:rsidRPr="00EB0C72">
              <w:rPr>
                <w:rFonts w:ascii="Times New Roman" w:eastAsiaTheme="minorEastAsia" w:hAnsi="Times New Roman" w:cs="Times New Roman"/>
                <w:i/>
                <w:iCs/>
                <w:noProof/>
                <w:sz w:val="24"/>
                <w:szCs w:val="24"/>
                <w:lang w:val="en-NZ" w:eastAsia="en-GB"/>
              </w:rPr>
              <w:tab/>
            </w:r>
            <w:r w:rsidR="00EB0C72" w:rsidRPr="00EB0C72">
              <w:rPr>
                <w:rStyle w:val="Hyperlink"/>
                <w:rFonts w:ascii="Times New Roman" w:hAnsi="Times New Roman" w:cs="Times New Roman"/>
                <w:noProof/>
                <w:lang w:val="en-NZ"/>
              </w:rPr>
              <w:t>Decision Makers and Employment Bodies</w:t>
            </w:r>
            <w:r w:rsidR="00EB0C72" w:rsidRPr="00EB0C72">
              <w:rPr>
                <w:rFonts w:ascii="Times New Roman" w:hAnsi="Times New Roman" w:cs="Times New Roman"/>
                <w:noProof/>
                <w:webHidden/>
              </w:rPr>
              <w:tab/>
            </w:r>
            <w:r w:rsidR="00EB0C72" w:rsidRPr="00EB0C72">
              <w:rPr>
                <w:rFonts w:ascii="Times New Roman" w:hAnsi="Times New Roman" w:cs="Times New Roman"/>
                <w:noProof/>
                <w:webHidden/>
              </w:rPr>
              <w:fldChar w:fldCharType="begin"/>
            </w:r>
            <w:r w:rsidR="00EB0C72" w:rsidRPr="00EB0C72">
              <w:rPr>
                <w:rFonts w:ascii="Times New Roman" w:hAnsi="Times New Roman" w:cs="Times New Roman"/>
                <w:noProof/>
                <w:webHidden/>
              </w:rPr>
              <w:instrText xml:space="preserve"> PAGEREF _Toc92724717 \h </w:instrText>
            </w:r>
            <w:r w:rsidR="00EB0C72" w:rsidRPr="00EB0C72">
              <w:rPr>
                <w:rFonts w:ascii="Times New Roman" w:hAnsi="Times New Roman" w:cs="Times New Roman"/>
                <w:noProof/>
                <w:webHidden/>
              </w:rPr>
            </w:r>
            <w:r w:rsidR="00EB0C72" w:rsidRPr="00EB0C72">
              <w:rPr>
                <w:rFonts w:ascii="Times New Roman" w:hAnsi="Times New Roman" w:cs="Times New Roman"/>
                <w:noProof/>
                <w:webHidden/>
              </w:rPr>
              <w:fldChar w:fldCharType="separate"/>
            </w:r>
            <w:r w:rsidR="00EB0C72" w:rsidRPr="00EB0C72">
              <w:rPr>
                <w:rFonts w:ascii="Times New Roman" w:hAnsi="Times New Roman" w:cs="Times New Roman"/>
                <w:noProof/>
                <w:webHidden/>
              </w:rPr>
              <w:t>11</w:t>
            </w:r>
            <w:r w:rsidR="00EB0C72" w:rsidRPr="00EB0C72">
              <w:rPr>
                <w:rFonts w:ascii="Times New Roman" w:hAnsi="Times New Roman" w:cs="Times New Roman"/>
                <w:noProof/>
                <w:webHidden/>
              </w:rPr>
              <w:fldChar w:fldCharType="end"/>
            </w:r>
          </w:hyperlink>
        </w:p>
        <w:p w14:paraId="0761BA84" w14:textId="42D96CF9" w:rsidR="00EB0C72" w:rsidRPr="00EB0C72" w:rsidRDefault="00BA2808">
          <w:pPr>
            <w:pStyle w:val="TOC3"/>
            <w:tabs>
              <w:tab w:val="left" w:pos="960"/>
              <w:tab w:val="right" w:leader="dot" w:pos="9016"/>
            </w:tabs>
            <w:rPr>
              <w:rFonts w:ascii="Times New Roman" w:eastAsiaTheme="minorEastAsia" w:hAnsi="Times New Roman" w:cs="Times New Roman"/>
              <w:i/>
              <w:iCs/>
              <w:noProof/>
              <w:sz w:val="24"/>
              <w:szCs w:val="24"/>
              <w:lang w:val="en-NZ" w:eastAsia="en-GB"/>
            </w:rPr>
          </w:pPr>
          <w:hyperlink w:anchor="_Toc92724718" w:history="1">
            <w:r w:rsidR="00EB0C72" w:rsidRPr="00EB0C72">
              <w:rPr>
                <w:rStyle w:val="Hyperlink"/>
                <w:rFonts w:ascii="Times New Roman" w:hAnsi="Times New Roman" w:cs="Times New Roman"/>
                <w:noProof/>
                <w:lang w:val="en-NZ"/>
              </w:rPr>
              <w:t>2</w:t>
            </w:r>
            <w:r w:rsidR="00EB0C72" w:rsidRPr="00EB0C72">
              <w:rPr>
                <w:rFonts w:ascii="Times New Roman" w:eastAsiaTheme="minorEastAsia" w:hAnsi="Times New Roman" w:cs="Times New Roman"/>
                <w:i/>
                <w:iCs/>
                <w:noProof/>
                <w:sz w:val="24"/>
                <w:szCs w:val="24"/>
                <w:lang w:val="en-NZ" w:eastAsia="en-GB"/>
              </w:rPr>
              <w:tab/>
            </w:r>
            <w:r w:rsidR="00EB0C72" w:rsidRPr="00EB0C72">
              <w:rPr>
                <w:rStyle w:val="Hyperlink"/>
                <w:rFonts w:ascii="Times New Roman" w:hAnsi="Times New Roman" w:cs="Times New Roman"/>
                <w:noProof/>
                <w:lang w:val="en-NZ"/>
              </w:rPr>
              <w:t>Legislative Reform</w:t>
            </w:r>
            <w:r w:rsidR="00EB0C72" w:rsidRPr="00EB0C72">
              <w:rPr>
                <w:rFonts w:ascii="Times New Roman" w:hAnsi="Times New Roman" w:cs="Times New Roman"/>
                <w:noProof/>
                <w:webHidden/>
              </w:rPr>
              <w:tab/>
            </w:r>
            <w:r w:rsidR="00EB0C72" w:rsidRPr="00EB0C72">
              <w:rPr>
                <w:rFonts w:ascii="Times New Roman" w:hAnsi="Times New Roman" w:cs="Times New Roman"/>
                <w:noProof/>
                <w:webHidden/>
              </w:rPr>
              <w:fldChar w:fldCharType="begin"/>
            </w:r>
            <w:r w:rsidR="00EB0C72" w:rsidRPr="00EB0C72">
              <w:rPr>
                <w:rFonts w:ascii="Times New Roman" w:hAnsi="Times New Roman" w:cs="Times New Roman"/>
                <w:noProof/>
                <w:webHidden/>
              </w:rPr>
              <w:instrText xml:space="preserve"> PAGEREF _Toc92724718 \h </w:instrText>
            </w:r>
            <w:r w:rsidR="00EB0C72" w:rsidRPr="00EB0C72">
              <w:rPr>
                <w:rFonts w:ascii="Times New Roman" w:hAnsi="Times New Roman" w:cs="Times New Roman"/>
                <w:noProof/>
                <w:webHidden/>
              </w:rPr>
            </w:r>
            <w:r w:rsidR="00EB0C72" w:rsidRPr="00EB0C72">
              <w:rPr>
                <w:rFonts w:ascii="Times New Roman" w:hAnsi="Times New Roman" w:cs="Times New Roman"/>
                <w:noProof/>
                <w:webHidden/>
              </w:rPr>
              <w:fldChar w:fldCharType="separate"/>
            </w:r>
            <w:r w:rsidR="00EB0C72" w:rsidRPr="00EB0C72">
              <w:rPr>
                <w:rFonts w:ascii="Times New Roman" w:hAnsi="Times New Roman" w:cs="Times New Roman"/>
                <w:noProof/>
                <w:webHidden/>
              </w:rPr>
              <w:t>11</w:t>
            </w:r>
            <w:r w:rsidR="00EB0C72" w:rsidRPr="00EB0C72">
              <w:rPr>
                <w:rFonts w:ascii="Times New Roman" w:hAnsi="Times New Roman" w:cs="Times New Roman"/>
                <w:noProof/>
                <w:webHidden/>
              </w:rPr>
              <w:fldChar w:fldCharType="end"/>
            </w:r>
          </w:hyperlink>
        </w:p>
        <w:p w14:paraId="4B3D0736" w14:textId="55B20E26" w:rsidR="00EB0C72" w:rsidRPr="00EB0C72" w:rsidRDefault="00BA2808">
          <w:pPr>
            <w:pStyle w:val="TOC1"/>
            <w:tabs>
              <w:tab w:val="left" w:pos="720"/>
              <w:tab w:val="right" w:leader="dot" w:pos="9016"/>
            </w:tabs>
            <w:rPr>
              <w:rFonts w:ascii="Times New Roman" w:eastAsiaTheme="minorEastAsia" w:hAnsi="Times New Roman" w:cs="Times New Roman"/>
              <w:b w:val="0"/>
              <w:bCs w:val="0"/>
              <w:caps w:val="0"/>
              <w:noProof/>
              <w:sz w:val="24"/>
              <w:szCs w:val="24"/>
              <w:lang w:val="en-NZ" w:eastAsia="en-GB"/>
            </w:rPr>
          </w:pPr>
          <w:hyperlink w:anchor="_Toc92724719" w:history="1">
            <w:r w:rsidR="00EB0C72" w:rsidRPr="00EB0C72">
              <w:rPr>
                <w:rStyle w:val="Hyperlink"/>
                <w:rFonts w:ascii="Times New Roman" w:hAnsi="Times New Roman" w:cs="Times New Roman"/>
                <w:noProof/>
                <w:lang w:val="en-NZ"/>
              </w:rPr>
              <w:t>III.</w:t>
            </w:r>
            <w:r w:rsidR="00EB0C72" w:rsidRPr="00EB0C72">
              <w:rPr>
                <w:rFonts w:ascii="Times New Roman" w:eastAsiaTheme="minorEastAsia" w:hAnsi="Times New Roman" w:cs="Times New Roman"/>
                <w:b w:val="0"/>
                <w:bCs w:val="0"/>
                <w:caps w:val="0"/>
                <w:noProof/>
                <w:sz w:val="24"/>
                <w:szCs w:val="24"/>
                <w:lang w:val="en-NZ" w:eastAsia="en-GB"/>
              </w:rPr>
              <w:tab/>
            </w:r>
            <w:r w:rsidR="00EB0C72" w:rsidRPr="00EB0C72">
              <w:rPr>
                <w:rStyle w:val="Hyperlink"/>
                <w:rFonts w:ascii="Times New Roman" w:hAnsi="Times New Roman" w:cs="Times New Roman"/>
                <w:noProof/>
                <w:lang w:val="en-NZ"/>
              </w:rPr>
              <w:t>Part Three</w:t>
            </w:r>
            <w:r w:rsidR="00EB0C72" w:rsidRPr="00EB0C72">
              <w:rPr>
                <w:rFonts w:ascii="Times New Roman" w:hAnsi="Times New Roman" w:cs="Times New Roman"/>
                <w:noProof/>
                <w:webHidden/>
              </w:rPr>
              <w:tab/>
            </w:r>
            <w:r w:rsidR="00EB0C72" w:rsidRPr="00EB0C72">
              <w:rPr>
                <w:rFonts w:ascii="Times New Roman" w:hAnsi="Times New Roman" w:cs="Times New Roman"/>
                <w:noProof/>
                <w:webHidden/>
              </w:rPr>
              <w:fldChar w:fldCharType="begin"/>
            </w:r>
            <w:r w:rsidR="00EB0C72" w:rsidRPr="00EB0C72">
              <w:rPr>
                <w:rFonts w:ascii="Times New Roman" w:hAnsi="Times New Roman" w:cs="Times New Roman"/>
                <w:noProof/>
                <w:webHidden/>
              </w:rPr>
              <w:instrText xml:space="preserve"> PAGEREF _Toc92724719 \h </w:instrText>
            </w:r>
            <w:r w:rsidR="00EB0C72" w:rsidRPr="00EB0C72">
              <w:rPr>
                <w:rFonts w:ascii="Times New Roman" w:hAnsi="Times New Roman" w:cs="Times New Roman"/>
                <w:noProof/>
                <w:webHidden/>
              </w:rPr>
            </w:r>
            <w:r w:rsidR="00EB0C72" w:rsidRPr="00EB0C72">
              <w:rPr>
                <w:rFonts w:ascii="Times New Roman" w:hAnsi="Times New Roman" w:cs="Times New Roman"/>
                <w:noProof/>
                <w:webHidden/>
              </w:rPr>
              <w:fldChar w:fldCharType="separate"/>
            </w:r>
            <w:r w:rsidR="00EB0C72" w:rsidRPr="00EB0C72">
              <w:rPr>
                <w:rFonts w:ascii="Times New Roman" w:hAnsi="Times New Roman" w:cs="Times New Roman"/>
                <w:noProof/>
                <w:webHidden/>
              </w:rPr>
              <w:t>14</w:t>
            </w:r>
            <w:r w:rsidR="00EB0C72" w:rsidRPr="00EB0C72">
              <w:rPr>
                <w:rFonts w:ascii="Times New Roman" w:hAnsi="Times New Roman" w:cs="Times New Roman"/>
                <w:noProof/>
                <w:webHidden/>
              </w:rPr>
              <w:fldChar w:fldCharType="end"/>
            </w:r>
          </w:hyperlink>
        </w:p>
        <w:p w14:paraId="7F4A715D" w14:textId="73028483" w:rsidR="00EB0C72" w:rsidRPr="00EB0C72" w:rsidRDefault="00BA2808">
          <w:pPr>
            <w:pStyle w:val="TOC2"/>
            <w:tabs>
              <w:tab w:val="left" w:pos="720"/>
              <w:tab w:val="right" w:leader="dot" w:pos="9016"/>
            </w:tabs>
            <w:rPr>
              <w:rFonts w:ascii="Times New Roman" w:eastAsiaTheme="minorEastAsia" w:hAnsi="Times New Roman" w:cs="Times New Roman"/>
              <w:smallCaps w:val="0"/>
              <w:noProof/>
              <w:sz w:val="24"/>
              <w:szCs w:val="24"/>
              <w:lang w:val="en-NZ" w:eastAsia="en-GB"/>
            </w:rPr>
          </w:pPr>
          <w:hyperlink w:anchor="_Toc92724720" w:history="1">
            <w:r w:rsidR="00EB0C72" w:rsidRPr="00EB0C72">
              <w:rPr>
                <w:rStyle w:val="Hyperlink"/>
                <w:rFonts w:ascii="Times New Roman" w:hAnsi="Times New Roman" w:cs="Times New Roman"/>
                <w:noProof/>
              </w:rPr>
              <w:t>A</w:t>
            </w:r>
            <w:r w:rsidR="00EB0C72" w:rsidRPr="00EB0C72">
              <w:rPr>
                <w:rFonts w:ascii="Times New Roman" w:eastAsiaTheme="minorEastAsia" w:hAnsi="Times New Roman" w:cs="Times New Roman"/>
                <w:smallCaps w:val="0"/>
                <w:noProof/>
                <w:sz w:val="24"/>
                <w:szCs w:val="24"/>
                <w:lang w:val="en-NZ" w:eastAsia="en-GB"/>
              </w:rPr>
              <w:tab/>
            </w:r>
            <w:r w:rsidR="00EB0C72" w:rsidRPr="00EB0C72">
              <w:rPr>
                <w:rStyle w:val="Hyperlink"/>
                <w:rFonts w:ascii="Times New Roman" w:hAnsi="Times New Roman" w:cs="Times New Roman"/>
                <w:noProof/>
                <w:lang w:val="en-NZ"/>
              </w:rPr>
              <w:t xml:space="preserve">The International </w:t>
            </w:r>
            <w:r w:rsidR="00EB0C72" w:rsidRPr="00EB0C72">
              <w:rPr>
                <w:rStyle w:val="Hyperlink"/>
                <w:rFonts w:ascii="Times New Roman" w:hAnsi="Times New Roman" w:cs="Times New Roman"/>
                <w:noProof/>
              </w:rPr>
              <w:t>Context</w:t>
            </w:r>
            <w:r w:rsidR="00EB0C72" w:rsidRPr="00EB0C72">
              <w:rPr>
                <w:rFonts w:ascii="Times New Roman" w:hAnsi="Times New Roman" w:cs="Times New Roman"/>
                <w:noProof/>
                <w:webHidden/>
              </w:rPr>
              <w:tab/>
            </w:r>
            <w:r w:rsidR="00EB0C72" w:rsidRPr="00EB0C72">
              <w:rPr>
                <w:rFonts w:ascii="Times New Roman" w:hAnsi="Times New Roman" w:cs="Times New Roman"/>
                <w:noProof/>
                <w:webHidden/>
              </w:rPr>
              <w:fldChar w:fldCharType="begin"/>
            </w:r>
            <w:r w:rsidR="00EB0C72" w:rsidRPr="00EB0C72">
              <w:rPr>
                <w:rFonts w:ascii="Times New Roman" w:hAnsi="Times New Roman" w:cs="Times New Roman"/>
                <w:noProof/>
                <w:webHidden/>
              </w:rPr>
              <w:instrText xml:space="preserve"> PAGEREF _Toc92724720 \h </w:instrText>
            </w:r>
            <w:r w:rsidR="00EB0C72" w:rsidRPr="00EB0C72">
              <w:rPr>
                <w:rFonts w:ascii="Times New Roman" w:hAnsi="Times New Roman" w:cs="Times New Roman"/>
                <w:noProof/>
                <w:webHidden/>
              </w:rPr>
            </w:r>
            <w:r w:rsidR="00EB0C72" w:rsidRPr="00EB0C72">
              <w:rPr>
                <w:rFonts w:ascii="Times New Roman" w:hAnsi="Times New Roman" w:cs="Times New Roman"/>
                <w:noProof/>
                <w:webHidden/>
              </w:rPr>
              <w:fldChar w:fldCharType="separate"/>
            </w:r>
            <w:r w:rsidR="00EB0C72" w:rsidRPr="00EB0C72">
              <w:rPr>
                <w:rFonts w:ascii="Times New Roman" w:hAnsi="Times New Roman" w:cs="Times New Roman"/>
                <w:noProof/>
                <w:webHidden/>
              </w:rPr>
              <w:t>14</w:t>
            </w:r>
            <w:r w:rsidR="00EB0C72" w:rsidRPr="00EB0C72">
              <w:rPr>
                <w:rFonts w:ascii="Times New Roman" w:hAnsi="Times New Roman" w:cs="Times New Roman"/>
                <w:noProof/>
                <w:webHidden/>
              </w:rPr>
              <w:fldChar w:fldCharType="end"/>
            </w:r>
          </w:hyperlink>
        </w:p>
        <w:p w14:paraId="65EBF950" w14:textId="1347466B" w:rsidR="00EB0C72" w:rsidRPr="00EB0C72" w:rsidRDefault="00BA2808">
          <w:pPr>
            <w:pStyle w:val="TOC2"/>
            <w:tabs>
              <w:tab w:val="left" w:pos="720"/>
              <w:tab w:val="right" w:leader="dot" w:pos="9016"/>
            </w:tabs>
            <w:rPr>
              <w:rFonts w:ascii="Times New Roman" w:eastAsiaTheme="minorEastAsia" w:hAnsi="Times New Roman" w:cs="Times New Roman"/>
              <w:smallCaps w:val="0"/>
              <w:noProof/>
              <w:sz w:val="24"/>
              <w:szCs w:val="24"/>
              <w:lang w:val="en-NZ" w:eastAsia="en-GB"/>
            </w:rPr>
          </w:pPr>
          <w:hyperlink w:anchor="_Toc92724721" w:history="1">
            <w:r w:rsidR="00EB0C72" w:rsidRPr="00EB0C72">
              <w:rPr>
                <w:rStyle w:val="Hyperlink"/>
                <w:rFonts w:ascii="Times New Roman" w:hAnsi="Times New Roman" w:cs="Times New Roman"/>
                <w:noProof/>
                <w:lang w:val="en-NZ"/>
              </w:rPr>
              <w:t>B</w:t>
            </w:r>
            <w:r w:rsidR="00EB0C72" w:rsidRPr="00EB0C72">
              <w:rPr>
                <w:rFonts w:ascii="Times New Roman" w:eastAsiaTheme="minorEastAsia" w:hAnsi="Times New Roman" w:cs="Times New Roman"/>
                <w:smallCaps w:val="0"/>
                <w:noProof/>
                <w:sz w:val="24"/>
                <w:szCs w:val="24"/>
                <w:lang w:val="en-NZ" w:eastAsia="en-GB"/>
              </w:rPr>
              <w:tab/>
            </w:r>
            <w:r w:rsidR="00EB0C72" w:rsidRPr="00EB0C72">
              <w:rPr>
                <w:rStyle w:val="Hyperlink"/>
                <w:rFonts w:ascii="Times New Roman" w:hAnsi="Times New Roman" w:cs="Times New Roman"/>
                <w:noProof/>
                <w:lang w:val="en-NZ"/>
              </w:rPr>
              <w:t>COVID-19 and Violence Against Women</w:t>
            </w:r>
            <w:r w:rsidR="00EB0C72" w:rsidRPr="00EB0C72">
              <w:rPr>
                <w:rFonts w:ascii="Times New Roman" w:hAnsi="Times New Roman" w:cs="Times New Roman"/>
                <w:noProof/>
                <w:webHidden/>
              </w:rPr>
              <w:tab/>
            </w:r>
            <w:r w:rsidR="00EB0C72" w:rsidRPr="00EB0C72">
              <w:rPr>
                <w:rFonts w:ascii="Times New Roman" w:hAnsi="Times New Roman" w:cs="Times New Roman"/>
                <w:noProof/>
                <w:webHidden/>
              </w:rPr>
              <w:fldChar w:fldCharType="begin"/>
            </w:r>
            <w:r w:rsidR="00EB0C72" w:rsidRPr="00EB0C72">
              <w:rPr>
                <w:rFonts w:ascii="Times New Roman" w:hAnsi="Times New Roman" w:cs="Times New Roman"/>
                <w:noProof/>
                <w:webHidden/>
              </w:rPr>
              <w:instrText xml:space="preserve"> PAGEREF _Toc92724721 \h </w:instrText>
            </w:r>
            <w:r w:rsidR="00EB0C72" w:rsidRPr="00EB0C72">
              <w:rPr>
                <w:rFonts w:ascii="Times New Roman" w:hAnsi="Times New Roman" w:cs="Times New Roman"/>
                <w:noProof/>
                <w:webHidden/>
              </w:rPr>
            </w:r>
            <w:r w:rsidR="00EB0C72" w:rsidRPr="00EB0C72">
              <w:rPr>
                <w:rFonts w:ascii="Times New Roman" w:hAnsi="Times New Roman" w:cs="Times New Roman"/>
                <w:noProof/>
                <w:webHidden/>
              </w:rPr>
              <w:fldChar w:fldCharType="separate"/>
            </w:r>
            <w:r w:rsidR="00EB0C72" w:rsidRPr="00EB0C72">
              <w:rPr>
                <w:rFonts w:ascii="Times New Roman" w:hAnsi="Times New Roman" w:cs="Times New Roman"/>
                <w:noProof/>
                <w:webHidden/>
              </w:rPr>
              <w:t>16</w:t>
            </w:r>
            <w:r w:rsidR="00EB0C72" w:rsidRPr="00EB0C72">
              <w:rPr>
                <w:rFonts w:ascii="Times New Roman" w:hAnsi="Times New Roman" w:cs="Times New Roman"/>
                <w:noProof/>
                <w:webHidden/>
              </w:rPr>
              <w:fldChar w:fldCharType="end"/>
            </w:r>
          </w:hyperlink>
        </w:p>
        <w:p w14:paraId="28C86E12" w14:textId="6F321B08" w:rsidR="00EB0C72" w:rsidRPr="00EB0C72" w:rsidRDefault="00BA2808">
          <w:pPr>
            <w:pStyle w:val="TOC1"/>
            <w:tabs>
              <w:tab w:val="left" w:pos="720"/>
              <w:tab w:val="right" w:leader="dot" w:pos="9016"/>
            </w:tabs>
            <w:rPr>
              <w:rFonts w:ascii="Times New Roman" w:eastAsiaTheme="minorEastAsia" w:hAnsi="Times New Roman" w:cs="Times New Roman"/>
              <w:b w:val="0"/>
              <w:bCs w:val="0"/>
              <w:caps w:val="0"/>
              <w:noProof/>
              <w:sz w:val="24"/>
              <w:szCs w:val="24"/>
              <w:lang w:val="en-NZ" w:eastAsia="en-GB"/>
            </w:rPr>
          </w:pPr>
          <w:hyperlink w:anchor="_Toc92724722" w:history="1">
            <w:r w:rsidR="00EB0C72" w:rsidRPr="00EB0C72">
              <w:rPr>
                <w:rStyle w:val="Hyperlink"/>
                <w:rFonts w:ascii="Times New Roman" w:hAnsi="Times New Roman" w:cs="Times New Roman"/>
                <w:noProof/>
                <w:lang w:val="en-US"/>
              </w:rPr>
              <w:t>IV.</w:t>
            </w:r>
            <w:r w:rsidR="00EB0C72" w:rsidRPr="00EB0C72">
              <w:rPr>
                <w:rFonts w:ascii="Times New Roman" w:eastAsiaTheme="minorEastAsia" w:hAnsi="Times New Roman" w:cs="Times New Roman"/>
                <w:b w:val="0"/>
                <w:bCs w:val="0"/>
                <w:caps w:val="0"/>
                <w:noProof/>
                <w:sz w:val="24"/>
                <w:szCs w:val="24"/>
                <w:lang w:val="en-NZ" w:eastAsia="en-GB"/>
              </w:rPr>
              <w:tab/>
            </w:r>
            <w:r w:rsidR="00EB0C72" w:rsidRPr="00EB0C72">
              <w:rPr>
                <w:rStyle w:val="Hyperlink"/>
                <w:rFonts w:ascii="Times New Roman" w:hAnsi="Times New Roman" w:cs="Times New Roman"/>
                <w:noProof/>
                <w:lang w:val="en-US"/>
              </w:rPr>
              <w:t>Conclusion</w:t>
            </w:r>
            <w:r w:rsidR="00EB0C72" w:rsidRPr="00EB0C72">
              <w:rPr>
                <w:rFonts w:ascii="Times New Roman" w:hAnsi="Times New Roman" w:cs="Times New Roman"/>
                <w:noProof/>
                <w:webHidden/>
              </w:rPr>
              <w:tab/>
            </w:r>
            <w:r w:rsidR="00EB0C72" w:rsidRPr="00EB0C72">
              <w:rPr>
                <w:rFonts w:ascii="Times New Roman" w:hAnsi="Times New Roman" w:cs="Times New Roman"/>
                <w:noProof/>
                <w:webHidden/>
              </w:rPr>
              <w:fldChar w:fldCharType="begin"/>
            </w:r>
            <w:r w:rsidR="00EB0C72" w:rsidRPr="00EB0C72">
              <w:rPr>
                <w:rFonts w:ascii="Times New Roman" w:hAnsi="Times New Roman" w:cs="Times New Roman"/>
                <w:noProof/>
                <w:webHidden/>
              </w:rPr>
              <w:instrText xml:space="preserve"> PAGEREF _Toc92724722 \h </w:instrText>
            </w:r>
            <w:r w:rsidR="00EB0C72" w:rsidRPr="00EB0C72">
              <w:rPr>
                <w:rFonts w:ascii="Times New Roman" w:hAnsi="Times New Roman" w:cs="Times New Roman"/>
                <w:noProof/>
                <w:webHidden/>
              </w:rPr>
            </w:r>
            <w:r w:rsidR="00EB0C72" w:rsidRPr="00EB0C72">
              <w:rPr>
                <w:rFonts w:ascii="Times New Roman" w:hAnsi="Times New Roman" w:cs="Times New Roman"/>
                <w:noProof/>
                <w:webHidden/>
              </w:rPr>
              <w:fldChar w:fldCharType="separate"/>
            </w:r>
            <w:r w:rsidR="00EB0C72" w:rsidRPr="00EB0C72">
              <w:rPr>
                <w:rFonts w:ascii="Times New Roman" w:hAnsi="Times New Roman" w:cs="Times New Roman"/>
                <w:noProof/>
                <w:webHidden/>
              </w:rPr>
              <w:t>17</w:t>
            </w:r>
            <w:r w:rsidR="00EB0C72" w:rsidRPr="00EB0C72">
              <w:rPr>
                <w:rFonts w:ascii="Times New Roman" w:hAnsi="Times New Roman" w:cs="Times New Roman"/>
                <w:noProof/>
                <w:webHidden/>
              </w:rPr>
              <w:fldChar w:fldCharType="end"/>
            </w:r>
          </w:hyperlink>
        </w:p>
        <w:p w14:paraId="2D67C637" w14:textId="67786873" w:rsidR="00EB0C72" w:rsidRDefault="00EB0C72">
          <w:r w:rsidRPr="00EB0C72">
            <w:rPr>
              <w:rFonts w:ascii="Times New Roman" w:hAnsi="Times New Roman" w:cs="Times New Roman"/>
              <w:b/>
              <w:bCs/>
              <w:noProof/>
            </w:rPr>
            <w:fldChar w:fldCharType="end"/>
          </w:r>
        </w:p>
      </w:sdtContent>
    </w:sdt>
    <w:p w14:paraId="0A84BB34" w14:textId="304BDE43" w:rsidR="00054C7C" w:rsidRPr="0085470A" w:rsidRDefault="00054C7C" w:rsidP="0085470A"/>
    <w:p w14:paraId="194FCE42" w14:textId="0B5202E6" w:rsidR="00EE7FB2" w:rsidRPr="00573F35" w:rsidRDefault="00EE7FB2" w:rsidP="00BF4463">
      <w:pPr>
        <w:pStyle w:val="Heading1"/>
        <w:spacing w:line="360" w:lineRule="auto"/>
        <w:rPr>
          <w:rFonts w:ascii="Times New Roman" w:hAnsi="Times New Roman" w:cs="Times New Roman"/>
          <w:sz w:val="28"/>
          <w:szCs w:val="28"/>
        </w:rPr>
      </w:pPr>
      <w:bookmarkStart w:id="0" w:name="_Toc87264438"/>
      <w:bookmarkStart w:id="1" w:name="_Toc92724684"/>
      <w:bookmarkStart w:id="2" w:name="_Toc92724709"/>
      <w:r w:rsidRPr="00573F35">
        <w:rPr>
          <w:rFonts w:ascii="Times New Roman" w:hAnsi="Times New Roman" w:cs="Times New Roman"/>
          <w:sz w:val="28"/>
          <w:szCs w:val="28"/>
        </w:rPr>
        <w:t>Part One</w:t>
      </w:r>
      <w:bookmarkEnd w:id="0"/>
      <w:bookmarkEnd w:id="1"/>
      <w:bookmarkEnd w:id="2"/>
    </w:p>
    <w:p w14:paraId="4A0006DD" w14:textId="6A759E4C" w:rsidR="00EE7FB2" w:rsidRPr="00573F35" w:rsidRDefault="00EE7FB2" w:rsidP="00BF4463">
      <w:pPr>
        <w:pStyle w:val="Heading2"/>
        <w:spacing w:line="360" w:lineRule="auto"/>
        <w:rPr>
          <w:rFonts w:ascii="Times New Roman" w:hAnsi="Times New Roman" w:cs="Times New Roman"/>
          <w:sz w:val="24"/>
          <w:szCs w:val="24"/>
        </w:rPr>
      </w:pPr>
      <w:bookmarkStart w:id="3" w:name="_Toc87264439"/>
      <w:bookmarkStart w:id="4" w:name="_Toc92724685"/>
      <w:bookmarkStart w:id="5" w:name="_Toc92724710"/>
      <w:r w:rsidRPr="00573F35">
        <w:rPr>
          <w:rFonts w:ascii="Times New Roman" w:hAnsi="Times New Roman" w:cs="Times New Roman"/>
          <w:sz w:val="24"/>
          <w:szCs w:val="24"/>
        </w:rPr>
        <w:t>What is ILO Convention 190?</w:t>
      </w:r>
      <w:bookmarkEnd w:id="3"/>
      <w:bookmarkEnd w:id="4"/>
      <w:bookmarkEnd w:id="5"/>
    </w:p>
    <w:p w14:paraId="547FBA49" w14:textId="13B7E206" w:rsidR="0038766A" w:rsidRDefault="0038766A" w:rsidP="00BF4463">
      <w:pPr>
        <w:spacing w:line="360" w:lineRule="auto"/>
        <w:jc w:val="both"/>
        <w:rPr>
          <w:rFonts w:ascii="Times New Roman" w:hAnsi="Times New Roman" w:cs="Times New Roman"/>
        </w:rPr>
      </w:pPr>
    </w:p>
    <w:p w14:paraId="27D6351D" w14:textId="7FB0B957" w:rsidR="00256069" w:rsidRDefault="0038766A" w:rsidP="00BF4463">
      <w:pPr>
        <w:spacing w:line="360" w:lineRule="auto"/>
        <w:jc w:val="both"/>
        <w:rPr>
          <w:rFonts w:ascii="Times New Roman" w:hAnsi="Times New Roman" w:cs="Times New Roman"/>
        </w:rPr>
      </w:pPr>
      <w:r>
        <w:rPr>
          <w:rFonts w:ascii="Times New Roman" w:hAnsi="Times New Roman" w:cs="Times New Roman"/>
        </w:rPr>
        <w:t xml:space="preserve">In June 2019, the International Labour Organization (ILO) hosted a centenary conference in Geneva, to which approximately 6,300 delegates representing governments, employers and workers from the member states attended. On the agenda for the event </w:t>
      </w:r>
      <w:r w:rsidR="00960EB0">
        <w:rPr>
          <w:rFonts w:ascii="Times New Roman" w:hAnsi="Times New Roman" w:cs="Times New Roman"/>
        </w:rPr>
        <w:t>would be</w:t>
      </w:r>
      <w:r>
        <w:rPr>
          <w:rFonts w:ascii="Times New Roman" w:hAnsi="Times New Roman" w:cs="Times New Roman"/>
        </w:rPr>
        <w:t xml:space="preserve"> the vote for Convention 190</w:t>
      </w:r>
      <w:r w:rsidR="008414F0">
        <w:rPr>
          <w:rFonts w:ascii="Times New Roman" w:hAnsi="Times New Roman" w:cs="Times New Roman"/>
        </w:rPr>
        <w:t xml:space="preserve">; </w:t>
      </w:r>
      <w:r>
        <w:rPr>
          <w:rFonts w:ascii="Times New Roman" w:hAnsi="Times New Roman" w:cs="Times New Roman"/>
        </w:rPr>
        <w:t xml:space="preserve">a </w:t>
      </w:r>
      <w:r w:rsidR="009B2A19">
        <w:rPr>
          <w:rFonts w:ascii="Times New Roman" w:hAnsi="Times New Roman" w:cs="Times New Roman"/>
        </w:rPr>
        <w:t>comprehensive initiative tackling the issue of violence and harassment in the workplac</w:t>
      </w:r>
      <w:r w:rsidR="00304562">
        <w:rPr>
          <w:rFonts w:ascii="Times New Roman" w:hAnsi="Times New Roman" w:cs="Times New Roman"/>
        </w:rPr>
        <w:t xml:space="preserve">e. </w:t>
      </w:r>
      <w:r w:rsidR="009B43A0">
        <w:rPr>
          <w:rFonts w:ascii="Times New Roman" w:hAnsi="Times New Roman" w:cs="Times New Roman"/>
        </w:rPr>
        <w:t xml:space="preserve">Its adoption </w:t>
      </w:r>
      <w:r w:rsidR="00CB7FBC">
        <w:rPr>
          <w:rFonts w:ascii="Times New Roman" w:hAnsi="Times New Roman" w:cs="Times New Roman"/>
        </w:rPr>
        <w:t>was quickly affirmed by 439 out of 476 votes going in favo</w:t>
      </w:r>
      <w:r w:rsidR="00B539D0">
        <w:rPr>
          <w:rFonts w:ascii="Times New Roman" w:hAnsi="Times New Roman" w:cs="Times New Roman"/>
        </w:rPr>
        <w:t>ur of the standard, with just seven votes against and 30 abstentions</w:t>
      </w:r>
      <w:r w:rsidR="00B775BC">
        <w:rPr>
          <w:rFonts w:ascii="Times New Roman" w:hAnsi="Times New Roman" w:cs="Times New Roman"/>
        </w:rPr>
        <w:t xml:space="preserve">. The core of this Convention </w:t>
      </w:r>
      <w:r w:rsidR="00173E0D">
        <w:rPr>
          <w:rFonts w:ascii="Times New Roman" w:hAnsi="Times New Roman" w:cs="Times New Roman"/>
        </w:rPr>
        <w:t xml:space="preserve">is founded on a broad definition of ‘violence and harassment’ that must be considered comprehensively in </w:t>
      </w:r>
      <w:r w:rsidR="00256069">
        <w:rPr>
          <w:rFonts w:ascii="Times New Roman" w:hAnsi="Times New Roman" w:cs="Times New Roman"/>
        </w:rPr>
        <w:t xml:space="preserve">the implementation and monitoring of non-discriminative </w:t>
      </w:r>
      <w:r w:rsidR="00173E0D">
        <w:rPr>
          <w:rFonts w:ascii="Times New Roman" w:hAnsi="Times New Roman" w:cs="Times New Roman"/>
        </w:rPr>
        <w:t xml:space="preserve">workplace </w:t>
      </w:r>
      <w:r w:rsidR="00256069">
        <w:rPr>
          <w:rFonts w:ascii="Times New Roman" w:hAnsi="Times New Roman" w:cs="Times New Roman"/>
        </w:rPr>
        <w:lastRenderedPageBreak/>
        <w:t>policy</w:t>
      </w:r>
      <w:r w:rsidR="00173E0D">
        <w:rPr>
          <w:rFonts w:ascii="Times New Roman" w:hAnsi="Times New Roman" w:cs="Times New Roman"/>
        </w:rPr>
        <w:t xml:space="preserve">. </w:t>
      </w:r>
      <w:r w:rsidR="00256069">
        <w:rPr>
          <w:rFonts w:ascii="Times New Roman" w:hAnsi="Times New Roman" w:cs="Times New Roman"/>
        </w:rPr>
        <w:t>Rather than viewing violence and harassment as two separate issues, the Convention places them on a spectrum as:</w:t>
      </w:r>
      <w:r w:rsidR="00256069">
        <w:rPr>
          <w:rStyle w:val="FootnoteReference"/>
          <w:rFonts w:ascii="Times New Roman" w:hAnsi="Times New Roman" w:cs="Times New Roman"/>
        </w:rPr>
        <w:footnoteReference w:id="1"/>
      </w:r>
    </w:p>
    <w:p w14:paraId="0C33DA49" w14:textId="77777777" w:rsidR="00B65601" w:rsidRDefault="00B65601" w:rsidP="00BF4463">
      <w:pPr>
        <w:spacing w:line="360" w:lineRule="auto"/>
        <w:jc w:val="both"/>
        <w:rPr>
          <w:rFonts w:ascii="Times New Roman" w:hAnsi="Times New Roman" w:cs="Times New Roman"/>
        </w:rPr>
      </w:pPr>
    </w:p>
    <w:p w14:paraId="1066B4EF" w14:textId="6CCA33FE" w:rsidR="0038766A" w:rsidRDefault="00256069" w:rsidP="00BF4463">
      <w:pPr>
        <w:spacing w:line="360" w:lineRule="auto"/>
        <w:ind w:left="567" w:right="521"/>
        <w:jc w:val="both"/>
        <w:rPr>
          <w:rFonts w:ascii="Times New Roman" w:hAnsi="Times New Roman" w:cs="Times New Roman"/>
          <w:sz w:val="22"/>
          <w:szCs w:val="22"/>
        </w:rPr>
      </w:pPr>
      <w:r w:rsidRPr="00B65601">
        <w:rPr>
          <w:rFonts w:ascii="Times New Roman" w:hAnsi="Times New Roman" w:cs="Times New Roman"/>
          <w:sz w:val="22"/>
          <w:szCs w:val="22"/>
        </w:rPr>
        <w:t>A range of unacceptable behaviours and practices</w:t>
      </w:r>
      <w:r w:rsidR="00874C1B">
        <w:rPr>
          <w:rFonts w:ascii="Times New Roman" w:hAnsi="Times New Roman" w:cs="Times New Roman"/>
          <w:sz w:val="22"/>
          <w:szCs w:val="22"/>
        </w:rPr>
        <w:t xml:space="preserve"> </w:t>
      </w:r>
      <w:r w:rsidRPr="00B65601">
        <w:rPr>
          <w:rFonts w:ascii="Times New Roman" w:hAnsi="Times New Roman" w:cs="Times New Roman"/>
          <w:sz w:val="22"/>
          <w:szCs w:val="22"/>
        </w:rPr>
        <w:t xml:space="preserve">… that aim at, result in, or are likely to result in physical, psychological, </w:t>
      </w:r>
      <w:proofErr w:type="gramStart"/>
      <w:r w:rsidRPr="00B65601">
        <w:rPr>
          <w:rFonts w:ascii="Times New Roman" w:hAnsi="Times New Roman" w:cs="Times New Roman"/>
          <w:sz w:val="22"/>
          <w:szCs w:val="22"/>
        </w:rPr>
        <w:t>sexual</w:t>
      </w:r>
      <w:proofErr w:type="gramEnd"/>
      <w:r w:rsidRPr="00B65601">
        <w:rPr>
          <w:rFonts w:ascii="Times New Roman" w:hAnsi="Times New Roman" w:cs="Times New Roman"/>
          <w:sz w:val="22"/>
          <w:szCs w:val="22"/>
        </w:rPr>
        <w:t xml:space="preserve"> or economic harm, and includes gender-based violence and harassment</w:t>
      </w:r>
      <w:r w:rsidR="00BF4463">
        <w:rPr>
          <w:rFonts w:ascii="Times New Roman" w:hAnsi="Times New Roman" w:cs="Times New Roman"/>
          <w:sz w:val="22"/>
          <w:szCs w:val="22"/>
        </w:rPr>
        <w:t>.</w:t>
      </w:r>
    </w:p>
    <w:p w14:paraId="2A7B6DA6" w14:textId="5C2A4B93" w:rsidR="00B65601" w:rsidRDefault="00B65601" w:rsidP="00BF4463">
      <w:pPr>
        <w:spacing w:line="360" w:lineRule="auto"/>
        <w:ind w:left="567" w:right="521"/>
        <w:jc w:val="both"/>
        <w:rPr>
          <w:rFonts w:ascii="Times New Roman" w:hAnsi="Times New Roman" w:cs="Times New Roman"/>
          <w:sz w:val="22"/>
          <w:szCs w:val="22"/>
        </w:rPr>
      </w:pPr>
    </w:p>
    <w:p w14:paraId="5C7320C2" w14:textId="7FC398B0" w:rsidR="00DD440A" w:rsidRDefault="00D9360F" w:rsidP="00BF4463">
      <w:pPr>
        <w:spacing w:line="360" w:lineRule="auto"/>
        <w:ind w:right="521"/>
        <w:jc w:val="both"/>
        <w:rPr>
          <w:rFonts w:ascii="Times New Roman" w:hAnsi="Times New Roman" w:cs="Times New Roman"/>
        </w:rPr>
      </w:pPr>
      <w:r w:rsidRPr="00EE7FB2">
        <w:rPr>
          <w:rFonts w:ascii="Times New Roman" w:hAnsi="Times New Roman" w:cs="Times New Roman"/>
        </w:rPr>
        <w:t>More than this, a zero-tolerance policy of violence and harassment und</w:t>
      </w:r>
      <w:r w:rsidR="008A2CEE" w:rsidRPr="00EE7FB2">
        <w:rPr>
          <w:rFonts w:ascii="Times New Roman" w:hAnsi="Times New Roman" w:cs="Times New Roman"/>
        </w:rPr>
        <w:t xml:space="preserve">er the Convention is to be applied not only in the workplace, but in the ‘world of work.’ This includes public places, private spaces, work-related </w:t>
      </w:r>
      <w:proofErr w:type="gramStart"/>
      <w:r w:rsidR="00B57B7F" w:rsidRPr="00EE7FB2">
        <w:rPr>
          <w:rFonts w:ascii="Times New Roman" w:hAnsi="Times New Roman" w:cs="Times New Roman"/>
        </w:rPr>
        <w:t>events</w:t>
      </w:r>
      <w:proofErr w:type="gramEnd"/>
      <w:r w:rsidR="008A2CEE" w:rsidRPr="00EE7FB2">
        <w:rPr>
          <w:rFonts w:ascii="Times New Roman" w:hAnsi="Times New Roman" w:cs="Times New Roman"/>
        </w:rPr>
        <w:t xml:space="preserve"> and activities, commuting to and from work, employer-provided accommodation and places where the worker may take a rest break or use sanitary facilities.</w:t>
      </w:r>
      <w:r w:rsidR="008A2CEE" w:rsidRPr="00EE7FB2">
        <w:rPr>
          <w:rStyle w:val="FootnoteReference"/>
          <w:rFonts w:ascii="Times New Roman" w:hAnsi="Times New Roman" w:cs="Times New Roman"/>
        </w:rPr>
        <w:footnoteReference w:id="2"/>
      </w:r>
      <w:r w:rsidR="00B57B7F" w:rsidRPr="00EE7FB2">
        <w:rPr>
          <w:rFonts w:ascii="Times New Roman" w:hAnsi="Times New Roman" w:cs="Times New Roman"/>
        </w:rPr>
        <w:t xml:space="preserve"> </w:t>
      </w:r>
    </w:p>
    <w:p w14:paraId="0DC593CC" w14:textId="77777777" w:rsidR="00874C1B" w:rsidRPr="00E8484B" w:rsidRDefault="00874C1B" w:rsidP="00BF4463">
      <w:pPr>
        <w:spacing w:line="360" w:lineRule="auto"/>
        <w:ind w:right="521"/>
        <w:jc w:val="both"/>
        <w:rPr>
          <w:rFonts w:ascii="Times New Roman" w:hAnsi="Times New Roman" w:cs="Times New Roman"/>
        </w:rPr>
      </w:pPr>
    </w:p>
    <w:p w14:paraId="2EC9E837" w14:textId="2FDCB42E" w:rsidR="00EE7FB2" w:rsidRPr="00EE7FB2" w:rsidRDefault="000A08CD" w:rsidP="00BF4463">
      <w:pPr>
        <w:spacing w:line="360" w:lineRule="auto"/>
        <w:ind w:right="521"/>
        <w:jc w:val="both"/>
        <w:rPr>
          <w:rFonts w:ascii="Times New Roman" w:hAnsi="Times New Roman" w:cs="Times New Roman"/>
        </w:rPr>
      </w:pPr>
      <w:r>
        <w:rPr>
          <w:rFonts w:ascii="Times New Roman" w:hAnsi="Times New Roman" w:cs="Times New Roman"/>
        </w:rPr>
        <w:t xml:space="preserve">Expanding the Convention’s jurisdiction in this way provides an inclusive framework for domestic labour policy that establishes workplace anti-discrimination as a societal movement rather than legal obligation. </w:t>
      </w:r>
      <w:r w:rsidR="00D27AA5">
        <w:rPr>
          <w:rFonts w:ascii="Times New Roman" w:hAnsi="Times New Roman" w:cs="Times New Roman"/>
        </w:rPr>
        <w:t xml:space="preserve">This is reflected in the Convention’s </w:t>
      </w:r>
      <w:r w:rsidR="008414F0">
        <w:rPr>
          <w:rFonts w:ascii="Times New Roman" w:hAnsi="Times New Roman" w:cs="Times New Roman"/>
        </w:rPr>
        <w:t>acknowledgement of domestic violence and gender-based discrimination as issues fundamentally influencing workplace harassment.</w:t>
      </w:r>
      <w:r w:rsidR="008414F0">
        <w:rPr>
          <w:rStyle w:val="FootnoteReference"/>
          <w:rFonts w:ascii="Times New Roman" w:hAnsi="Times New Roman" w:cs="Times New Roman"/>
        </w:rPr>
        <w:footnoteReference w:id="3"/>
      </w:r>
      <w:r w:rsidR="008414F0">
        <w:rPr>
          <w:rFonts w:ascii="Times New Roman" w:hAnsi="Times New Roman" w:cs="Times New Roman"/>
        </w:rPr>
        <w:t xml:space="preserve"> As such, victims of abuse in the world of work will have access to reporting and dispute resolution processes that expose violence and harassment and improve societal working conditions. This is a global issue that calls for a progression in labour standards and makes clear the intolerance every state must have towards abusive behaviour in the world of work.</w:t>
      </w:r>
    </w:p>
    <w:p w14:paraId="76FDB93E" w14:textId="77777777" w:rsidR="00EE7FB2" w:rsidRPr="00EE7FB2" w:rsidRDefault="00EE7FB2" w:rsidP="00BF4463">
      <w:pPr>
        <w:spacing w:line="360" w:lineRule="auto"/>
        <w:ind w:right="521"/>
        <w:jc w:val="both"/>
        <w:rPr>
          <w:rFonts w:ascii="Times New Roman" w:hAnsi="Times New Roman" w:cs="Times New Roman"/>
        </w:rPr>
      </w:pPr>
    </w:p>
    <w:p w14:paraId="08256798" w14:textId="27ED64BE" w:rsidR="00EE7FB2" w:rsidRPr="00573F35" w:rsidRDefault="00D055B9" w:rsidP="00BF4463">
      <w:pPr>
        <w:pStyle w:val="Heading2"/>
        <w:spacing w:line="360" w:lineRule="auto"/>
        <w:rPr>
          <w:rFonts w:ascii="Times New Roman" w:hAnsi="Times New Roman" w:cs="Times New Roman"/>
          <w:sz w:val="24"/>
          <w:szCs w:val="24"/>
        </w:rPr>
      </w:pPr>
      <w:bookmarkStart w:id="6" w:name="_Toc87264440"/>
      <w:bookmarkStart w:id="7" w:name="_Toc92724686"/>
      <w:bookmarkStart w:id="8" w:name="_Toc92724711"/>
      <w:r w:rsidRPr="00573F35">
        <w:rPr>
          <w:rFonts w:ascii="Times New Roman" w:hAnsi="Times New Roman" w:cs="Times New Roman"/>
          <w:sz w:val="24"/>
          <w:szCs w:val="24"/>
        </w:rPr>
        <w:t xml:space="preserve">Why is it so </w:t>
      </w:r>
      <w:r w:rsidR="00D275D3">
        <w:rPr>
          <w:rFonts w:ascii="Times New Roman" w:hAnsi="Times New Roman" w:cs="Times New Roman"/>
          <w:sz w:val="24"/>
          <w:szCs w:val="24"/>
        </w:rPr>
        <w:t>G</w:t>
      </w:r>
      <w:r w:rsidRPr="00573F35">
        <w:rPr>
          <w:rFonts w:ascii="Times New Roman" w:hAnsi="Times New Roman" w:cs="Times New Roman"/>
          <w:sz w:val="24"/>
          <w:szCs w:val="24"/>
        </w:rPr>
        <w:t>round-</w:t>
      </w:r>
      <w:r w:rsidR="00D275D3">
        <w:rPr>
          <w:rFonts w:ascii="Times New Roman" w:hAnsi="Times New Roman" w:cs="Times New Roman"/>
          <w:sz w:val="24"/>
          <w:szCs w:val="24"/>
        </w:rPr>
        <w:t>Br</w:t>
      </w:r>
      <w:r w:rsidRPr="00573F35">
        <w:rPr>
          <w:rFonts w:ascii="Times New Roman" w:hAnsi="Times New Roman" w:cs="Times New Roman"/>
          <w:sz w:val="24"/>
          <w:szCs w:val="24"/>
        </w:rPr>
        <w:t>eaking?</w:t>
      </w:r>
      <w:bookmarkEnd w:id="6"/>
      <w:bookmarkEnd w:id="7"/>
      <w:bookmarkEnd w:id="8"/>
    </w:p>
    <w:p w14:paraId="465E6579" w14:textId="77777777" w:rsidR="00D055B9" w:rsidRPr="00D055B9" w:rsidRDefault="00D055B9" w:rsidP="00BF4463">
      <w:pPr>
        <w:spacing w:line="360" w:lineRule="auto"/>
        <w:ind w:right="521"/>
        <w:jc w:val="both"/>
        <w:rPr>
          <w:rFonts w:ascii="Times New Roman" w:hAnsi="Times New Roman" w:cs="Times New Roman"/>
          <w:i/>
          <w:iCs/>
        </w:rPr>
      </w:pPr>
    </w:p>
    <w:p w14:paraId="1D072313" w14:textId="66CFF28D" w:rsidR="00B24A35" w:rsidRDefault="00075DD8" w:rsidP="00BF4463">
      <w:pPr>
        <w:spacing w:line="360" w:lineRule="auto"/>
        <w:ind w:right="521"/>
        <w:jc w:val="both"/>
        <w:rPr>
          <w:rFonts w:ascii="Times New Roman" w:hAnsi="Times New Roman" w:cs="Times New Roman"/>
        </w:rPr>
      </w:pPr>
      <w:r>
        <w:rPr>
          <w:rFonts w:ascii="Times New Roman" w:hAnsi="Times New Roman" w:cs="Times New Roman"/>
        </w:rPr>
        <w:t xml:space="preserve">Convention 190 </w:t>
      </w:r>
      <w:r w:rsidR="00E37F38" w:rsidRPr="00EE7FB2">
        <w:rPr>
          <w:rFonts w:ascii="Times New Roman" w:hAnsi="Times New Roman" w:cs="Times New Roman"/>
        </w:rPr>
        <w:t>provides the first internationally agreed, single definition of violence and harassme</w:t>
      </w:r>
      <w:r w:rsidR="001A6A1A">
        <w:rPr>
          <w:rFonts w:ascii="Times New Roman" w:hAnsi="Times New Roman" w:cs="Times New Roman"/>
        </w:rPr>
        <w:t xml:space="preserve">nt in the context of work and employment. More than this, it is a definition of wide jurisdiction that may adapt to </w:t>
      </w:r>
      <w:r w:rsidR="00E37F38" w:rsidRPr="00EE7FB2">
        <w:rPr>
          <w:rFonts w:ascii="Times New Roman" w:hAnsi="Times New Roman" w:cs="Times New Roman"/>
        </w:rPr>
        <w:t xml:space="preserve">the changing nature of the labour sector. </w:t>
      </w:r>
      <w:r w:rsidR="00B24A35">
        <w:rPr>
          <w:rFonts w:ascii="Times New Roman" w:hAnsi="Times New Roman" w:cs="Times New Roman"/>
        </w:rPr>
        <w:t xml:space="preserve">In its recognition of informal or non-standard employment agreements, the Convention looks </w:t>
      </w:r>
      <w:r w:rsidR="00B24A35">
        <w:rPr>
          <w:rFonts w:ascii="Times New Roman" w:hAnsi="Times New Roman" w:cs="Times New Roman"/>
        </w:rPr>
        <w:lastRenderedPageBreak/>
        <w:t>to protect those unaware of how to fight workplace mistreatment. Amanda Brown of the National Education Union (NEU) in the United Kingdom explains:</w:t>
      </w:r>
      <w:r w:rsidR="00B24A35">
        <w:rPr>
          <w:rStyle w:val="FootnoteReference"/>
          <w:rFonts w:ascii="Times New Roman" w:hAnsi="Times New Roman" w:cs="Times New Roman"/>
        </w:rPr>
        <w:footnoteReference w:id="4"/>
      </w:r>
    </w:p>
    <w:p w14:paraId="71A84F38" w14:textId="77777777" w:rsidR="00B24A35" w:rsidRDefault="00B24A35" w:rsidP="00BF4463">
      <w:pPr>
        <w:spacing w:line="360" w:lineRule="auto"/>
        <w:ind w:right="521"/>
        <w:jc w:val="both"/>
        <w:rPr>
          <w:rFonts w:ascii="Times New Roman" w:hAnsi="Times New Roman" w:cs="Times New Roman"/>
        </w:rPr>
      </w:pPr>
    </w:p>
    <w:p w14:paraId="75208FF4" w14:textId="39C32EC6" w:rsidR="00B24A35" w:rsidRPr="00B24A35" w:rsidRDefault="00B24A35" w:rsidP="00BF4463">
      <w:pPr>
        <w:spacing w:line="360" w:lineRule="auto"/>
        <w:ind w:left="567" w:right="1088"/>
        <w:jc w:val="both"/>
        <w:rPr>
          <w:rFonts w:ascii="Times New Roman" w:hAnsi="Times New Roman" w:cs="Times New Roman"/>
          <w:sz w:val="22"/>
          <w:szCs w:val="22"/>
          <w:lang w:val="en-NZ"/>
        </w:rPr>
      </w:pPr>
      <w:r w:rsidRPr="00B24A35">
        <w:rPr>
          <w:rFonts w:ascii="Times New Roman" w:hAnsi="Times New Roman" w:cs="Times New Roman"/>
          <w:sz w:val="22"/>
          <w:szCs w:val="22"/>
          <w:lang w:val="en-NZ"/>
        </w:rPr>
        <w:t>The truly ground-breaking thing about Convention 190 is that, for the first time ever, it recognises the right of everyone to have a working life free from violence and harassment</w:t>
      </w:r>
      <w:r w:rsidR="00874C1B">
        <w:rPr>
          <w:rFonts w:ascii="Times New Roman" w:hAnsi="Times New Roman" w:cs="Times New Roman"/>
          <w:sz w:val="22"/>
          <w:szCs w:val="22"/>
          <w:lang w:val="en-NZ"/>
        </w:rPr>
        <w:t xml:space="preserve"> </w:t>
      </w:r>
      <w:r w:rsidRPr="00B24A35">
        <w:rPr>
          <w:rFonts w:ascii="Times New Roman" w:hAnsi="Times New Roman" w:cs="Times New Roman"/>
          <w:sz w:val="22"/>
          <w:szCs w:val="22"/>
          <w:lang w:val="en-NZ"/>
        </w:rPr>
        <w:t xml:space="preserve">… </w:t>
      </w:r>
      <w:r w:rsidR="00874C1B">
        <w:rPr>
          <w:rFonts w:ascii="Times New Roman" w:hAnsi="Times New Roman" w:cs="Times New Roman"/>
          <w:sz w:val="22"/>
          <w:szCs w:val="22"/>
          <w:lang w:val="en-NZ"/>
        </w:rPr>
        <w:t>i</w:t>
      </w:r>
      <w:r w:rsidRPr="00B24A35">
        <w:rPr>
          <w:rFonts w:ascii="Times New Roman" w:hAnsi="Times New Roman" w:cs="Times New Roman"/>
          <w:sz w:val="22"/>
          <w:szCs w:val="22"/>
          <w:lang w:val="en-NZ"/>
        </w:rPr>
        <w:t>t covers workers who are often left outside the basic protections, like those in the informal economy, or in precarious or insecure jobs. Those who often feel forced to keep silent, or face losing work if they speak out. And those joining the workforce: apprentices and interns. We know that they are particularly vulnerable</w:t>
      </w:r>
      <w:r w:rsidR="00874C1B">
        <w:rPr>
          <w:rFonts w:ascii="Times New Roman" w:hAnsi="Times New Roman" w:cs="Times New Roman"/>
          <w:sz w:val="22"/>
          <w:szCs w:val="22"/>
          <w:lang w:val="en-NZ"/>
        </w:rPr>
        <w:t xml:space="preserve"> </w:t>
      </w:r>
      <w:r w:rsidRPr="00B24A35">
        <w:rPr>
          <w:rFonts w:ascii="Times New Roman" w:hAnsi="Times New Roman" w:cs="Times New Roman"/>
          <w:sz w:val="22"/>
          <w:szCs w:val="22"/>
          <w:lang w:val="en-NZ"/>
        </w:rPr>
        <w:t xml:space="preserve">... It is not just about things that are committed in the actual workplace, but also harassment that happens on the way to work or electronically. And sometimes outside working hours. </w:t>
      </w:r>
    </w:p>
    <w:p w14:paraId="46D4A522" w14:textId="77777777" w:rsidR="00B24A35" w:rsidRDefault="00B24A35" w:rsidP="00BF4463">
      <w:pPr>
        <w:spacing w:line="360" w:lineRule="auto"/>
        <w:ind w:right="521"/>
        <w:jc w:val="both"/>
        <w:rPr>
          <w:rFonts w:ascii="Times New Roman" w:hAnsi="Times New Roman" w:cs="Times New Roman"/>
        </w:rPr>
      </w:pPr>
    </w:p>
    <w:p w14:paraId="7028CAA0" w14:textId="0FE638A0" w:rsidR="0038766A" w:rsidRPr="00F21C25" w:rsidRDefault="00B24A35" w:rsidP="00BF4463">
      <w:pPr>
        <w:spacing w:line="360" w:lineRule="auto"/>
        <w:ind w:right="521"/>
        <w:jc w:val="both"/>
        <w:rPr>
          <w:rFonts w:ascii="Times New Roman" w:hAnsi="Times New Roman" w:cs="Times New Roman"/>
        </w:rPr>
      </w:pPr>
      <w:r>
        <w:rPr>
          <w:rFonts w:ascii="Times New Roman" w:hAnsi="Times New Roman" w:cs="Times New Roman"/>
        </w:rPr>
        <w:t xml:space="preserve"> </w:t>
      </w:r>
      <w:r w:rsidR="005533A2">
        <w:rPr>
          <w:rFonts w:ascii="Times New Roman" w:hAnsi="Times New Roman" w:cs="Times New Roman"/>
        </w:rPr>
        <w:t>In New Zealand, it is arguable that such a wide jurisdiction may face practical difficulties should compensat</w:t>
      </w:r>
      <w:r w:rsidR="00D9767B">
        <w:rPr>
          <w:rFonts w:ascii="Times New Roman" w:hAnsi="Times New Roman" w:cs="Times New Roman"/>
        </w:rPr>
        <w:t>ory</w:t>
      </w:r>
      <w:r w:rsidR="005533A2">
        <w:rPr>
          <w:rFonts w:ascii="Times New Roman" w:hAnsi="Times New Roman" w:cs="Times New Roman"/>
        </w:rPr>
        <w:t xml:space="preserve"> remedies be provided through the Accident Compensation Corporation. </w:t>
      </w:r>
      <w:r w:rsidR="00E924CA">
        <w:rPr>
          <w:rFonts w:ascii="Times New Roman" w:hAnsi="Times New Roman" w:cs="Times New Roman"/>
        </w:rPr>
        <w:t xml:space="preserve">Requirements </w:t>
      </w:r>
      <w:r w:rsidR="005533A2">
        <w:rPr>
          <w:rFonts w:ascii="Times New Roman" w:hAnsi="Times New Roman" w:cs="Times New Roman"/>
        </w:rPr>
        <w:t>will</w:t>
      </w:r>
      <w:r w:rsidR="00E924CA">
        <w:rPr>
          <w:rFonts w:ascii="Times New Roman" w:hAnsi="Times New Roman" w:cs="Times New Roman"/>
        </w:rPr>
        <w:t xml:space="preserve"> need to be explored in more depth to establish where thresholds lie for work-related violence and harassment. </w:t>
      </w:r>
      <w:r w:rsidR="002909CE">
        <w:rPr>
          <w:rFonts w:ascii="Times New Roman" w:hAnsi="Times New Roman" w:cs="Times New Roman"/>
        </w:rPr>
        <w:t>Given ACC’s provision of compensation for work-related personal injury,</w:t>
      </w:r>
      <w:r w:rsidR="002909CE">
        <w:rPr>
          <w:rStyle w:val="FootnoteReference"/>
          <w:rFonts w:ascii="Times New Roman" w:hAnsi="Times New Roman" w:cs="Times New Roman"/>
        </w:rPr>
        <w:footnoteReference w:id="5"/>
      </w:r>
      <w:r w:rsidR="002909CE">
        <w:rPr>
          <w:rFonts w:ascii="Times New Roman" w:hAnsi="Times New Roman" w:cs="Times New Roman"/>
        </w:rPr>
        <w:t xml:space="preserve"> </w:t>
      </w:r>
      <w:r w:rsidR="000F1670">
        <w:rPr>
          <w:rFonts w:ascii="Times New Roman" w:hAnsi="Times New Roman" w:cs="Times New Roman"/>
        </w:rPr>
        <w:t>employees</w:t>
      </w:r>
      <w:r w:rsidR="002909CE">
        <w:rPr>
          <w:rFonts w:ascii="Times New Roman" w:hAnsi="Times New Roman" w:cs="Times New Roman"/>
        </w:rPr>
        <w:t xml:space="preserve"> in New Zealand may already make a</w:t>
      </w:r>
      <w:r w:rsidR="000F1670">
        <w:rPr>
          <w:rFonts w:ascii="Times New Roman" w:hAnsi="Times New Roman" w:cs="Times New Roman"/>
        </w:rPr>
        <w:t xml:space="preserve"> </w:t>
      </w:r>
      <w:r w:rsidR="002909CE">
        <w:rPr>
          <w:rFonts w:ascii="Times New Roman" w:hAnsi="Times New Roman" w:cs="Times New Roman"/>
        </w:rPr>
        <w:t xml:space="preserve">claim for events occurring at ‘any place </w:t>
      </w:r>
      <w:r w:rsidR="000F1670">
        <w:rPr>
          <w:rFonts w:ascii="Times New Roman" w:hAnsi="Times New Roman" w:cs="Times New Roman"/>
        </w:rPr>
        <w:t xml:space="preserve">[they are in] </w:t>
      </w:r>
      <w:r w:rsidR="002909CE">
        <w:rPr>
          <w:rFonts w:ascii="Times New Roman" w:hAnsi="Times New Roman" w:cs="Times New Roman"/>
        </w:rPr>
        <w:t>for the purposes of their employment’</w:t>
      </w:r>
      <w:r w:rsidR="000F1670">
        <w:rPr>
          <w:rFonts w:ascii="Times New Roman" w:hAnsi="Times New Roman" w:cs="Times New Roman"/>
        </w:rPr>
        <w:t>,</w:t>
      </w:r>
      <w:r w:rsidR="000F1670">
        <w:rPr>
          <w:rStyle w:val="FootnoteReference"/>
          <w:rFonts w:ascii="Times New Roman" w:hAnsi="Times New Roman" w:cs="Times New Roman"/>
        </w:rPr>
        <w:footnoteReference w:id="6"/>
      </w:r>
      <w:r w:rsidR="000F1670">
        <w:rPr>
          <w:rFonts w:ascii="Times New Roman" w:hAnsi="Times New Roman" w:cs="Times New Roman"/>
        </w:rPr>
        <w:t xml:space="preserve"> whilst on break from work or during travel to and from work.</w:t>
      </w:r>
      <w:r w:rsidR="000F1670">
        <w:rPr>
          <w:rStyle w:val="FootnoteReference"/>
          <w:rFonts w:ascii="Times New Roman" w:hAnsi="Times New Roman" w:cs="Times New Roman"/>
        </w:rPr>
        <w:footnoteReference w:id="7"/>
      </w:r>
      <w:r w:rsidR="00D97DA6">
        <w:rPr>
          <w:rFonts w:ascii="Times New Roman" w:hAnsi="Times New Roman" w:cs="Times New Roman"/>
        </w:rPr>
        <w:t xml:space="preserve"> </w:t>
      </w:r>
      <w:r w:rsidR="008C4E45">
        <w:rPr>
          <w:rFonts w:ascii="Times New Roman" w:hAnsi="Times New Roman" w:cs="Times New Roman"/>
        </w:rPr>
        <w:t>This is consistent with the wide scope given to the workplace in the Convention’s definition of the ‘world of work’. ACC may therefore build on current provisions to include, for example, mental injury relating from violence and harassment in the world of work, or injury suffered at work resulting from domestic violence. Alternatively, the legislation may be amended to include new and informed requirements specific to a Convention 190 claim</w:t>
      </w:r>
      <w:r w:rsidR="00194D14">
        <w:rPr>
          <w:rFonts w:ascii="Times New Roman" w:hAnsi="Times New Roman" w:cs="Times New Roman"/>
        </w:rPr>
        <w:t xml:space="preserve">. Illustrating the way in which Convention 190 may be incorporated into New Zealand’s current ACC framework demonstrates the adaptability of the Convention to current regulation, particularly due to the identification of workplace harassment as an issue of national significance. Convention 190 does not require domestic implementation of new international obligations, rather, it builds on </w:t>
      </w:r>
      <w:r w:rsidR="000B2579">
        <w:rPr>
          <w:rFonts w:ascii="Times New Roman" w:hAnsi="Times New Roman" w:cs="Times New Roman"/>
        </w:rPr>
        <w:t>curren</w:t>
      </w:r>
      <w:r w:rsidR="00194D14">
        <w:rPr>
          <w:rFonts w:ascii="Times New Roman" w:hAnsi="Times New Roman" w:cs="Times New Roman"/>
        </w:rPr>
        <w:t>t policy to improve labour welfare</w:t>
      </w:r>
      <w:r w:rsidR="00734931">
        <w:rPr>
          <w:rFonts w:ascii="Times New Roman" w:hAnsi="Times New Roman" w:cs="Times New Roman"/>
        </w:rPr>
        <w:t xml:space="preserve">. Under </w:t>
      </w:r>
      <w:r w:rsidR="00162718" w:rsidRPr="00EE7FB2">
        <w:rPr>
          <w:rFonts w:ascii="Times New Roman" w:hAnsi="Times New Roman" w:cs="Times New Roman"/>
        </w:rPr>
        <w:t xml:space="preserve">a clear and cohesive framework for anti-discriminative policy, the </w:t>
      </w:r>
      <w:r w:rsidR="00162718" w:rsidRPr="00EE7FB2">
        <w:rPr>
          <w:rFonts w:ascii="Times New Roman" w:hAnsi="Times New Roman" w:cs="Times New Roman"/>
        </w:rPr>
        <w:lastRenderedPageBreak/>
        <w:t>Convention addresses underlying societal tensions that fuel workplace violence and harassme</w:t>
      </w:r>
      <w:r w:rsidR="00EE7FB2" w:rsidRPr="00EE7FB2">
        <w:rPr>
          <w:rFonts w:ascii="Times New Roman" w:hAnsi="Times New Roman" w:cs="Times New Roman"/>
        </w:rPr>
        <w:t xml:space="preserve">nt, such as inequal power relations, domestic </w:t>
      </w:r>
      <w:r w:rsidR="001A6A1A" w:rsidRPr="00EE7FB2">
        <w:rPr>
          <w:rFonts w:ascii="Times New Roman" w:hAnsi="Times New Roman" w:cs="Times New Roman"/>
        </w:rPr>
        <w:t>violence,</w:t>
      </w:r>
      <w:r w:rsidR="00EE7FB2" w:rsidRPr="00EE7FB2">
        <w:rPr>
          <w:rFonts w:ascii="Times New Roman" w:hAnsi="Times New Roman" w:cs="Times New Roman"/>
        </w:rPr>
        <w:t xml:space="preserve"> and informal employment.</w:t>
      </w:r>
      <w:r w:rsidR="00734931">
        <w:rPr>
          <w:rStyle w:val="FootnoteReference"/>
          <w:rFonts w:ascii="Times New Roman" w:hAnsi="Times New Roman" w:cs="Times New Roman"/>
        </w:rPr>
        <w:footnoteReference w:id="8"/>
      </w:r>
      <w:r w:rsidR="00EE7FB2" w:rsidRPr="00EE7FB2">
        <w:rPr>
          <w:rFonts w:ascii="Times New Roman" w:hAnsi="Times New Roman" w:cs="Times New Roman"/>
        </w:rPr>
        <w:t xml:space="preserve"> </w:t>
      </w:r>
      <w:r w:rsidR="001A6A1A">
        <w:rPr>
          <w:rFonts w:ascii="Times New Roman" w:hAnsi="Times New Roman" w:cs="Times New Roman"/>
        </w:rPr>
        <w:t>This opens the space for discourse relating to a range of employment-related issues that, when addressed collectively,</w:t>
      </w:r>
      <w:r w:rsidR="0058758E">
        <w:rPr>
          <w:rFonts w:ascii="Times New Roman" w:hAnsi="Times New Roman" w:cs="Times New Roman"/>
        </w:rPr>
        <w:t xml:space="preserve"> will promote higher labour </w:t>
      </w:r>
      <w:r w:rsidR="00D93CED">
        <w:rPr>
          <w:rFonts w:ascii="Times New Roman" w:hAnsi="Times New Roman" w:cs="Times New Roman"/>
        </w:rPr>
        <w:t>standards,</w:t>
      </w:r>
      <w:r w:rsidR="0058758E">
        <w:rPr>
          <w:rFonts w:ascii="Times New Roman" w:hAnsi="Times New Roman" w:cs="Times New Roman"/>
        </w:rPr>
        <w:t xml:space="preserve"> and prohibit toxic workplace behaviour rooted in gender and race relations.</w:t>
      </w:r>
      <w:r w:rsidR="00D93CED">
        <w:rPr>
          <w:rFonts w:ascii="Times New Roman" w:hAnsi="Times New Roman" w:cs="Times New Roman"/>
        </w:rPr>
        <w:t xml:space="preserve"> It was only </w:t>
      </w:r>
      <w:r w:rsidR="00B35DF6">
        <w:rPr>
          <w:rFonts w:ascii="Times New Roman" w:hAnsi="Times New Roman" w:cs="Times New Roman"/>
        </w:rPr>
        <w:t xml:space="preserve">in </w:t>
      </w:r>
      <w:r w:rsidR="00D93CED">
        <w:rPr>
          <w:rFonts w:ascii="Times New Roman" w:hAnsi="Times New Roman" w:cs="Times New Roman"/>
        </w:rPr>
        <w:t xml:space="preserve">June of this year that the New Zealand Lawyers and Conveyancers Disciplinary Tribunal </w:t>
      </w:r>
      <w:r w:rsidR="000B2579">
        <w:rPr>
          <w:rFonts w:ascii="Times New Roman" w:hAnsi="Times New Roman" w:cs="Times New Roman"/>
        </w:rPr>
        <w:t>decided on a case of six incidents relating to charges of professional misconduct, performed by a Russel McVeagh law firm partner at two work parties.</w:t>
      </w:r>
      <w:r w:rsidR="000B2579">
        <w:rPr>
          <w:rStyle w:val="FootnoteReference"/>
          <w:rFonts w:ascii="Times New Roman" w:hAnsi="Times New Roman" w:cs="Times New Roman"/>
        </w:rPr>
        <w:footnoteReference w:id="9"/>
      </w:r>
      <w:r w:rsidR="000B2579">
        <w:rPr>
          <w:rFonts w:ascii="Times New Roman" w:hAnsi="Times New Roman" w:cs="Times New Roman"/>
        </w:rPr>
        <w:t xml:space="preserve"> In a landmark decision for workplace harassment, the Tribunal found the partner guilty on all six charges, assessing the behaviour to “</w:t>
      </w:r>
      <w:r w:rsidR="000B2579" w:rsidRPr="000B2579">
        <w:rPr>
          <w:rFonts w:ascii="Times New Roman" w:hAnsi="Times New Roman" w:cs="Times New Roman"/>
          <w:lang w:val="en-NZ"/>
        </w:rPr>
        <w:t xml:space="preserve">clearly </w:t>
      </w:r>
      <w:r w:rsidR="000B2579">
        <w:rPr>
          <w:rFonts w:ascii="Times New Roman" w:hAnsi="Times New Roman" w:cs="Times New Roman"/>
          <w:lang w:val="en-NZ"/>
        </w:rPr>
        <w:t>[</w:t>
      </w:r>
      <w:r w:rsidR="000B2579" w:rsidRPr="000B2579">
        <w:rPr>
          <w:rFonts w:ascii="Times New Roman" w:hAnsi="Times New Roman" w:cs="Times New Roman"/>
          <w:lang w:val="en-NZ"/>
        </w:rPr>
        <w:t>reach</w:t>
      </w:r>
      <w:r w:rsidR="000B2579">
        <w:rPr>
          <w:rFonts w:ascii="Times New Roman" w:hAnsi="Times New Roman" w:cs="Times New Roman"/>
          <w:lang w:val="en-NZ"/>
        </w:rPr>
        <w:t xml:space="preserve"> a]</w:t>
      </w:r>
      <w:r w:rsidR="000B2579" w:rsidRPr="000B2579">
        <w:rPr>
          <w:rFonts w:ascii="Times New Roman" w:hAnsi="Times New Roman" w:cs="Times New Roman"/>
          <w:lang w:val="en-NZ"/>
        </w:rPr>
        <w:t xml:space="preserve"> standard of disgraceful or dishonourable conduct</w:t>
      </w:r>
      <w:r w:rsidR="000B2579">
        <w:rPr>
          <w:rFonts w:ascii="Times New Roman" w:hAnsi="Times New Roman" w:cs="Times New Roman"/>
          <w:lang w:val="en-NZ"/>
        </w:rPr>
        <w:t>.”</w:t>
      </w:r>
      <w:r w:rsidR="000B2579">
        <w:rPr>
          <w:rStyle w:val="FootnoteReference"/>
          <w:rFonts w:ascii="Times New Roman" w:hAnsi="Times New Roman" w:cs="Times New Roman"/>
          <w:lang w:val="en-NZ"/>
        </w:rPr>
        <w:footnoteReference w:id="10"/>
      </w:r>
      <w:r w:rsidR="008F16AC">
        <w:rPr>
          <w:rFonts w:ascii="Times New Roman" w:hAnsi="Times New Roman" w:cs="Times New Roman"/>
          <w:lang w:val="en-NZ"/>
        </w:rPr>
        <w:t xml:space="preserve"> However, the case also exposed an abusive workplace culture that despite being more prominent in certain industries, reflects the vulnerability of employees, particularly where gender and power imbalances are present. The Tribunal </w:t>
      </w:r>
      <w:r w:rsidR="00745C22">
        <w:rPr>
          <w:rFonts w:ascii="Times New Roman" w:hAnsi="Times New Roman" w:cs="Times New Roman"/>
          <w:lang w:val="en-NZ"/>
        </w:rPr>
        <w:t xml:space="preserve">noted that in five out of the six incidents, the conduct occurred in a public space, which somewhat normalises </w:t>
      </w:r>
      <w:r w:rsidR="00B35DF6">
        <w:rPr>
          <w:rFonts w:ascii="Times New Roman" w:hAnsi="Times New Roman" w:cs="Times New Roman"/>
          <w:lang w:val="en-NZ"/>
        </w:rPr>
        <w:t xml:space="preserve">this </w:t>
      </w:r>
      <w:r w:rsidR="00745C22">
        <w:rPr>
          <w:rFonts w:ascii="Times New Roman" w:hAnsi="Times New Roman" w:cs="Times New Roman"/>
          <w:lang w:val="en-NZ"/>
        </w:rPr>
        <w:t>unacceptable behaviour. It was further branded a</w:t>
      </w:r>
      <w:r w:rsidR="008F16AC">
        <w:rPr>
          <w:rFonts w:ascii="Times New Roman" w:hAnsi="Times New Roman" w:cs="Times New Roman"/>
          <w:lang w:val="en-NZ"/>
        </w:rPr>
        <w:t xml:space="preserve"> </w:t>
      </w:r>
      <w:r w:rsidR="00745C22">
        <w:rPr>
          <w:rFonts w:ascii="Times New Roman" w:hAnsi="Times New Roman" w:cs="Times New Roman"/>
          <w:lang w:val="en-NZ"/>
        </w:rPr>
        <w:t>“</w:t>
      </w:r>
      <w:r w:rsidR="008F16AC">
        <w:rPr>
          <w:rFonts w:ascii="Times New Roman" w:hAnsi="Times New Roman" w:cs="Times New Roman"/>
          <w:lang w:val="en-NZ"/>
        </w:rPr>
        <w:t xml:space="preserve">mark of shame for the profession” that the claimants involved had to bring these events to light. In accordance with Convention 190, this </w:t>
      </w:r>
      <w:r w:rsidR="0092200C">
        <w:rPr>
          <w:rFonts w:ascii="Times New Roman" w:hAnsi="Times New Roman" w:cs="Times New Roman"/>
          <w:lang w:val="en-NZ"/>
        </w:rPr>
        <w:t xml:space="preserve">case </w:t>
      </w:r>
      <w:r w:rsidR="008F16AC">
        <w:rPr>
          <w:rFonts w:ascii="Times New Roman" w:hAnsi="Times New Roman" w:cs="Times New Roman"/>
          <w:lang w:val="en-NZ"/>
        </w:rPr>
        <w:t>undoubtedly demonstrate</w:t>
      </w:r>
      <w:r w:rsidR="0092200C">
        <w:rPr>
          <w:rFonts w:ascii="Times New Roman" w:hAnsi="Times New Roman" w:cs="Times New Roman"/>
          <w:lang w:val="en-NZ"/>
        </w:rPr>
        <w:t>d</w:t>
      </w:r>
      <w:r w:rsidR="008F16AC">
        <w:rPr>
          <w:rFonts w:ascii="Times New Roman" w:hAnsi="Times New Roman" w:cs="Times New Roman"/>
          <w:lang w:val="en-NZ"/>
        </w:rPr>
        <w:t xml:space="preserve"> </w:t>
      </w:r>
      <w:r w:rsidR="0092200C">
        <w:rPr>
          <w:rFonts w:ascii="Times New Roman" w:hAnsi="Times New Roman" w:cs="Times New Roman"/>
          <w:lang w:val="en-NZ"/>
        </w:rPr>
        <w:t>a</w:t>
      </w:r>
      <w:r w:rsidR="008F16AC">
        <w:rPr>
          <w:rFonts w:ascii="Times New Roman" w:hAnsi="Times New Roman" w:cs="Times New Roman"/>
          <w:lang w:val="en-NZ"/>
        </w:rPr>
        <w:t xml:space="preserve"> need for more effective access to remedial services in instances of workplace violence and harassment</w:t>
      </w:r>
      <w:r w:rsidR="0092200C">
        <w:rPr>
          <w:rFonts w:ascii="Times New Roman" w:hAnsi="Times New Roman" w:cs="Times New Roman"/>
          <w:lang w:val="en-NZ"/>
        </w:rPr>
        <w:t xml:space="preserve">. </w:t>
      </w:r>
      <w:r w:rsidR="00EB5D3E">
        <w:rPr>
          <w:rFonts w:ascii="Times New Roman" w:hAnsi="Times New Roman" w:cs="Times New Roman"/>
          <w:lang w:val="en-NZ"/>
        </w:rPr>
        <w:t>This includes services that are not only easier to access, but quicker as well. Though almost three years passed before the details of this case became public, societal discourse invoked a movement known as ‘Me Too’, which culminated with an independent review of Russel McVeagh. The Tribunal noted that these events and their public outcomes “called out unacceptable behaviours and have led to significant changes in many work places in the legal profession.”</w:t>
      </w:r>
      <w:r w:rsidR="00EB5D3E">
        <w:rPr>
          <w:rStyle w:val="FootnoteReference"/>
          <w:rFonts w:ascii="Times New Roman" w:hAnsi="Times New Roman" w:cs="Times New Roman"/>
          <w:lang w:val="en-NZ"/>
        </w:rPr>
        <w:footnoteReference w:id="11"/>
      </w:r>
      <w:r w:rsidR="00EB5D3E">
        <w:rPr>
          <w:rFonts w:ascii="Times New Roman" w:hAnsi="Times New Roman" w:cs="Times New Roman"/>
          <w:lang w:val="en-NZ"/>
        </w:rPr>
        <w:t xml:space="preserve"> </w:t>
      </w:r>
      <w:r w:rsidR="00F16CFA">
        <w:rPr>
          <w:rFonts w:ascii="Times New Roman" w:hAnsi="Times New Roman" w:cs="Times New Roman"/>
          <w:lang w:val="en-NZ"/>
        </w:rPr>
        <w:t xml:space="preserve">Convention 190 both guides and induces such public involvement and accountability, to effect a framework of transparency </w:t>
      </w:r>
      <w:r w:rsidR="00F21C25">
        <w:rPr>
          <w:rFonts w:ascii="Times New Roman" w:hAnsi="Times New Roman" w:cs="Times New Roman"/>
          <w:lang w:val="en-NZ"/>
        </w:rPr>
        <w:t>that will</w:t>
      </w:r>
      <w:r w:rsidR="00F16CFA">
        <w:rPr>
          <w:rFonts w:ascii="Times New Roman" w:hAnsi="Times New Roman" w:cs="Times New Roman"/>
          <w:lang w:val="en-NZ"/>
        </w:rPr>
        <w:t xml:space="preserve"> enhance labour relations in New Zealand and be</w:t>
      </w:r>
      <w:r w:rsidR="00F21C25">
        <w:rPr>
          <w:rFonts w:ascii="Times New Roman" w:hAnsi="Times New Roman" w:cs="Times New Roman"/>
          <w:lang w:val="en-NZ"/>
        </w:rPr>
        <w:t>yon</w:t>
      </w:r>
      <w:r>
        <w:rPr>
          <w:rFonts w:ascii="Times New Roman" w:hAnsi="Times New Roman" w:cs="Times New Roman"/>
          <w:lang w:val="en-NZ"/>
        </w:rPr>
        <w:t xml:space="preserve">d. </w:t>
      </w:r>
    </w:p>
    <w:p w14:paraId="28DEF94B" w14:textId="77777777" w:rsidR="00194D14" w:rsidRPr="00EE7FB2" w:rsidRDefault="00194D14" w:rsidP="00BF4463">
      <w:pPr>
        <w:spacing w:line="360" w:lineRule="auto"/>
        <w:jc w:val="both"/>
        <w:rPr>
          <w:rFonts w:ascii="Times New Roman" w:hAnsi="Times New Roman" w:cs="Times New Roman"/>
          <w:i/>
          <w:iCs/>
        </w:rPr>
      </w:pPr>
    </w:p>
    <w:p w14:paraId="7043047B" w14:textId="06138F1D" w:rsidR="0038766A" w:rsidRPr="00573F35" w:rsidRDefault="00203DB2" w:rsidP="00BF4463">
      <w:pPr>
        <w:pStyle w:val="Heading2"/>
        <w:spacing w:line="360" w:lineRule="auto"/>
        <w:rPr>
          <w:rFonts w:ascii="Times New Roman" w:hAnsi="Times New Roman" w:cs="Times New Roman"/>
          <w:sz w:val="24"/>
          <w:szCs w:val="24"/>
        </w:rPr>
      </w:pPr>
      <w:bookmarkStart w:id="9" w:name="_Toc87264441"/>
      <w:bookmarkStart w:id="10" w:name="_Toc92724687"/>
      <w:bookmarkStart w:id="11" w:name="_Toc92724712"/>
      <w:r w:rsidRPr="00573F35">
        <w:rPr>
          <w:rFonts w:ascii="Times New Roman" w:hAnsi="Times New Roman" w:cs="Times New Roman"/>
          <w:sz w:val="24"/>
          <w:szCs w:val="24"/>
        </w:rPr>
        <w:t xml:space="preserve">What </w:t>
      </w:r>
      <w:r w:rsidR="00D275D3">
        <w:rPr>
          <w:rFonts w:ascii="Times New Roman" w:hAnsi="Times New Roman" w:cs="Times New Roman"/>
          <w:sz w:val="24"/>
          <w:szCs w:val="24"/>
        </w:rPr>
        <w:t>O</w:t>
      </w:r>
      <w:r w:rsidRPr="00573F35">
        <w:rPr>
          <w:rFonts w:ascii="Times New Roman" w:hAnsi="Times New Roman" w:cs="Times New Roman"/>
          <w:sz w:val="24"/>
          <w:szCs w:val="24"/>
        </w:rPr>
        <w:t xml:space="preserve">bligations does it </w:t>
      </w:r>
      <w:r w:rsidR="00D275D3">
        <w:rPr>
          <w:rFonts w:ascii="Times New Roman" w:hAnsi="Times New Roman" w:cs="Times New Roman"/>
          <w:sz w:val="24"/>
          <w:szCs w:val="24"/>
        </w:rPr>
        <w:t>Cr</w:t>
      </w:r>
      <w:r w:rsidRPr="00573F35">
        <w:rPr>
          <w:rFonts w:ascii="Times New Roman" w:hAnsi="Times New Roman" w:cs="Times New Roman"/>
          <w:sz w:val="24"/>
          <w:szCs w:val="24"/>
        </w:rPr>
        <w:t>eate?</w:t>
      </w:r>
      <w:bookmarkEnd w:id="9"/>
      <w:bookmarkEnd w:id="10"/>
      <w:bookmarkEnd w:id="11"/>
    </w:p>
    <w:p w14:paraId="32F270EC" w14:textId="1C8C0BA2" w:rsidR="00203DB2" w:rsidRDefault="00203DB2" w:rsidP="00BF4463">
      <w:pPr>
        <w:spacing w:line="360" w:lineRule="auto"/>
        <w:jc w:val="both"/>
        <w:rPr>
          <w:rFonts w:ascii="Times New Roman" w:hAnsi="Times New Roman" w:cs="Times New Roman"/>
        </w:rPr>
      </w:pPr>
    </w:p>
    <w:p w14:paraId="1608F583" w14:textId="69150469" w:rsidR="00695041" w:rsidRDefault="00742F98" w:rsidP="00BF4463">
      <w:pPr>
        <w:spacing w:line="360" w:lineRule="auto"/>
        <w:jc w:val="both"/>
        <w:rPr>
          <w:rFonts w:ascii="Times New Roman" w:hAnsi="Times New Roman" w:cs="Times New Roman"/>
        </w:rPr>
      </w:pPr>
      <w:r>
        <w:rPr>
          <w:rFonts w:ascii="Times New Roman" w:hAnsi="Times New Roman" w:cs="Times New Roman"/>
        </w:rPr>
        <w:lastRenderedPageBreak/>
        <w:t xml:space="preserve">Alongside the adoption of Convention 190, the ILO released a toolkit to educate and guide governments and union or employment bodies on the obligations created under the Convention and its implementation. This toolkit is comprised of an easily accessible Facilitator’s Guide and Activities Workbook, that aims to encourage discussion and awareness around violence and harassment in the world of work and promote union campaigning for the ratification of Convention 190, </w:t>
      </w:r>
      <w:proofErr w:type="gramStart"/>
      <w:r>
        <w:rPr>
          <w:rFonts w:ascii="Times New Roman" w:hAnsi="Times New Roman" w:cs="Times New Roman"/>
        </w:rPr>
        <w:t>in order to</w:t>
      </w:r>
      <w:proofErr w:type="gramEnd"/>
      <w:r>
        <w:rPr>
          <w:rFonts w:ascii="Times New Roman" w:hAnsi="Times New Roman" w:cs="Times New Roman"/>
        </w:rPr>
        <w:t xml:space="preserve"> enhance bargaining agendas and assert workers’ right</w:t>
      </w:r>
      <w:r w:rsidR="00755098">
        <w:rPr>
          <w:rFonts w:ascii="Times New Roman" w:hAnsi="Times New Roman" w:cs="Times New Roman"/>
        </w:rPr>
        <w:t>s. New Zealand has already ratified fundamental ILO Convention 111 in accordance with Recommendation 206, which until recently has acted as a key provider of international obligations on workplace anti-discrimination.</w:t>
      </w:r>
      <w:r w:rsidR="00755098">
        <w:rPr>
          <w:rStyle w:val="FootnoteReference"/>
          <w:rFonts w:ascii="Times New Roman" w:hAnsi="Times New Roman" w:cs="Times New Roman"/>
        </w:rPr>
        <w:footnoteReference w:id="12"/>
      </w:r>
      <w:r w:rsidR="003876E1">
        <w:rPr>
          <w:rFonts w:ascii="Times New Roman" w:hAnsi="Times New Roman" w:cs="Times New Roman"/>
        </w:rPr>
        <w:t xml:space="preserve"> Ratification of Convention 190 will create a more cohesive and contemporary set of obligations that at their centre, provide a checks and balance</w:t>
      </w:r>
      <w:r w:rsidR="0013031C">
        <w:rPr>
          <w:rFonts w:ascii="Times New Roman" w:hAnsi="Times New Roman" w:cs="Times New Roman"/>
        </w:rPr>
        <w:t>s</w:t>
      </w:r>
      <w:r w:rsidR="003876E1">
        <w:rPr>
          <w:rFonts w:ascii="Times New Roman" w:hAnsi="Times New Roman" w:cs="Times New Roman"/>
        </w:rPr>
        <w:t xml:space="preserve"> framework for national employment regulatio</w:t>
      </w:r>
      <w:r w:rsidR="00C12C1D">
        <w:rPr>
          <w:rFonts w:ascii="Times New Roman" w:hAnsi="Times New Roman" w:cs="Times New Roman"/>
        </w:rPr>
        <w:t xml:space="preserve">n. </w:t>
      </w:r>
      <w:r w:rsidR="00F1691A">
        <w:rPr>
          <w:rFonts w:ascii="Times New Roman" w:hAnsi="Times New Roman" w:cs="Times New Roman"/>
        </w:rPr>
        <w:t>The Convention states that each Member state shall adopt “laws, regulations and policies ensuring the right to equality and non-discrimination in employment and occupation,” including for groups more vulnerable to disproportionate levels of violence and harassment such as women workers and migrants.</w:t>
      </w:r>
      <w:r w:rsidR="00F1691A">
        <w:rPr>
          <w:rStyle w:val="FootnoteReference"/>
          <w:rFonts w:ascii="Times New Roman" w:hAnsi="Times New Roman" w:cs="Times New Roman"/>
        </w:rPr>
        <w:footnoteReference w:id="13"/>
      </w:r>
      <w:r w:rsidR="00F1691A">
        <w:rPr>
          <w:rFonts w:ascii="Times New Roman" w:hAnsi="Times New Roman" w:cs="Times New Roman"/>
        </w:rPr>
        <w:t xml:space="preserve"> </w:t>
      </w:r>
      <w:r w:rsidR="00591BF7">
        <w:rPr>
          <w:rFonts w:ascii="Times New Roman" w:hAnsi="Times New Roman" w:cs="Times New Roman"/>
        </w:rPr>
        <w:t>This is the most clear obligation created under the Convention and involves the integration of workplace policy, occupational safety and health management systems, information and training and gender-based discrimination into current labour legislation.</w:t>
      </w:r>
    </w:p>
    <w:p w14:paraId="0C249EC2" w14:textId="0E170BAC" w:rsidR="00591BF7" w:rsidRDefault="00591BF7" w:rsidP="00BF4463">
      <w:pPr>
        <w:spacing w:line="360" w:lineRule="auto"/>
        <w:jc w:val="both"/>
        <w:rPr>
          <w:rFonts w:ascii="Times New Roman" w:hAnsi="Times New Roman" w:cs="Times New Roman"/>
        </w:rPr>
      </w:pPr>
      <w:r>
        <w:rPr>
          <w:rFonts w:ascii="Times New Roman" w:hAnsi="Times New Roman" w:cs="Times New Roman"/>
        </w:rPr>
        <w:t>A workplace policy as outlined in national labour standards should include a zero-tolerance statement and prevention policy on violence and harassment in the world of work, with the rights of both employer and worker explained and corresponding complaint and investigation procedures.</w:t>
      </w:r>
      <w:r>
        <w:rPr>
          <w:rStyle w:val="FootnoteReference"/>
          <w:rFonts w:ascii="Times New Roman" w:hAnsi="Times New Roman" w:cs="Times New Roman"/>
        </w:rPr>
        <w:footnoteReference w:id="14"/>
      </w:r>
      <w:r w:rsidR="00E87B9F">
        <w:rPr>
          <w:rFonts w:ascii="Times New Roman" w:hAnsi="Times New Roman" w:cs="Times New Roman"/>
        </w:rPr>
        <w:t xml:space="preserve"> Safety and health systems require an assessment of hazards and psychosocial risks to establish preventative measures in relation to violence and harassment that are specific to the type of work involved. </w:t>
      </w:r>
      <w:proofErr w:type="gramStart"/>
      <w:r w:rsidR="00E87B9F">
        <w:rPr>
          <w:rFonts w:ascii="Times New Roman" w:hAnsi="Times New Roman" w:cs="Times New Roman"/>
        </w:rPr>
        <w:t>In order to</w:t>
      </w:r>
      <w:proofErr w:type="gramEnd"/>
      <w:r w:rsidR="00E87B9F">
        <w:rPr>
          <w:rFonts w:ascii="Times New Roman" w:hAnsi="Times New Roman" w:cs="Times New Roman"/>
        </w:rPr>
        <w:t xml:space="preserve"> ensure consistency, a Convention 190 Committee on Health and Safety or a similar body comprised of specialists in this field may be employed to generate a baseline policy for application in different industry sectors.</w:t>
      </w:r>
      <w:r w:rsidR="00253FD8">
        <w:rPr>
          <w:rFonts w:ascii="Times New Roman" w:hAnsi="Times New Roman" w:cs="Times New Roman"/>
        </w:rPr>
        <w:t xml:space="preserve"> A health and safety workplace policy should </w:t>
      </w:r>
      <w:proofErr w:type="gramStart"/>
      <w:r w:rsidR="00253FD8">
        <w:rPr>
          <w:rFonts w:ascii="Times New Roman" w:hAnsi="Times New Roman" w:cs="Times New Roman"/>
        </w:rPr>
        <w:t>take into account</w:t>
      </w:r>
      <w:proofErr w:type="gramEnd"/>
      <w:r w:rsidR="00253FD8">
        <w:rPr>
          <w:rFonts w:ascii="Times New Roman" w:hAnsi="Times New Roman" w:cs="Times New Roman"/>
        </w:rPr>
        <w:t xml:space="preserve"> factors such as working conditions, human resource management, risks involving third parties power relations and cultural norms that support or influence violence and harassment.</w:t>
      </w:r>
      <w:r w:rsidR="00253FD8">
        <w:rPr>
          <w:rStyle w:val="FootnoteReference"/>
          <w:rFonts w:ascii="Times New Roman" w:hAnsi="Times New Roman" w:cs="Times New Roman"/>
        </w:rPr>
        <w:footnoteReference w:id="15"/>
      </w:r>
      <w:r w:rsidR="00787F79">
        <w:rPr>
          <w:rFonts w:ascii="Times New Roman" w:hAnsi="Times New Roman" w:cs="Times New Roman"/>
        </w:rPr>
        <w:t xml:space="preserve"> In addition, gender-based violence and harassment shall be identified as an issue to be mainstreamed into health and safety at work. This coincides largely with a national policy on information and training, that informs workers of hazards, </w:t>
      </w:r>
      <w:proofErr w:type="gramStart"/>
      <w:r w:rsidR="00787F79">
        <w:rPr>
          <w:rFonts w:ascii="Times New Roman" w:hAnsi="Times New Roman" w:cs="Times New Roman"/>
        </w:rPr>
        <w:lastRenderedPageBreak/>
        <w:t>rights</w:t>
      </w:r>
      <w:proofErr w:type="gramEnd"/>
      <w:r w:rsidR="00787F79">
        <w:rPr>
          <w:rFonts w:ascii="Times New Roman" w:hAnsi="Times New Roman" w:cs="Times New Roman"/>
        </w:rPr>
        <w:t xml:space="preserve"> and responsibilities in their world of work and conducts mandatory training on sexual harassment and domestic violence. All workers should be familiar with their workplace code of conduct, which will underline a clear prohibition of sexual harassment. </w:t>
      </w:r>
      <w:r w:rsidR="00F87FC1">
        <w:rPr>
          <w:rFonts w:ascii="Times New Roman" w:hAnsi="Times New Roman" w:cs="Times New Roman"/>
        </w:rPr>
        <w:t>Convention 190 includes</w:t>
      </w:r>
      <w:r w:rsidR="0025013A">
        <w:rPr>
          <w:rFonts w:ascii="Times New Roman" w:hAnsi="Times New Roman" w:cs="Times New Roman"/>
        </w:rPr>
        <w:t xml:space="preserve">, </w:t>
      </w:r>
      <w:r w:rsidR="00F87FC1">
        <w:rPr>
          <w:rFonts w:ascii="Times New Roman" w:hAnsi="Times New Roman" w:cs="Times New Roman"/>
        </w:rPr>
        <w:t>for the first time</w:t>
      </w:r>
      <w:r w:rsidR="0025013A">
        <w:rPr>
          <w:rFonts w:ascii="Times New Roman" w:hAnsi="Times New Roman" w:cs="Times New Roman"/>
        </w:rPr>
        <w:t>,</w:t>
      </w:r>
      <w:r w:rsidR="00F87FC1">
        <w:rPr>
          <w:rFonts w:ascii="Times New Roman" w:hAnsi="Times New Roman" w:cs="Times New Roman"/>
        </w:rPr>
        <w:t xml:space="preserve"> domestic violence as an element affecting employment, so it is crucial that workplace risk assessments and the information and training above are instilled in workplace attitudes to create a secure working environment</w:t>
      </w:r>
      <w:r w:rsidR="0025013A">
        <w:rPr>
          <w:rFonts w:ascii="Times New Roman" w:hAnsi="Times New Roman" w:cs="Times New Roman"/>
        </w:rPr>
        <w:t xml:space="preserve">. It is important to note that although these requirements are largely provided for in existing legislation, </w:t>
      </w:r>
      <w:r w:rsidR="00D9767B">
        <w:rPr>
          <w:rFonts w:ascii="Times New Roman" w:hAnsi="Times New Roman" w:cs="Times New Roman"/>
        </w:rPr>
        <w:t>such as the workplace rights and responsibilities outlined in the Domestic Violence – Victims Protection Act 2018,</w:t>
      </w:r>
      <w:r w:rsidR="00E211CC">
        <w:rPr>
          <w:rStyle w:val="FootnoteReference"/>
          <w:rFonts w:ascii="Times New Roman" w:hAnsi="Times New Roman" w:cs="Times New Roman"/>
        </w:rPr>
        <w:footnoteReference w:id="16"/>
      </w:r>
      <w:r w:rsidR="00D9767B">
        <w:rPr>
          <w:rFonts w:ascii="Times New Roman" w:hAnsi="Times New Roman" w:cs="Times New Roman"/>
        </w:rPr>
        <w:t xml:space="preserve"> </w:t>
      </w:r>
      <w:r w:rsidR="0025013A">
        <w:rPr>
          <w:rFonts w:ascii="Times New Roman" w:hAnsi="Times New Roman" w:cs="Times New Roman"/>
        </w:rPr>
        <w:t>Convention 190 emphasises the root causes of violence and harassment at work as a guide for amendment</w:t>
      </w:r>
      <w:r w:rsidR="00D9767B">
        <w:rPr>
          <w:rFonts w:ascii="Times New Roman" w:hAnsi="Times New Roman" w:cs="Times New Roman"/>
        </w:rPr>
        <w:t>. For example,</w:t>
      </w:r>
      <w:r w:rsidR="0025013A">
        <w:rPr>
          <w:rFonts w:ascii="Times New Roman" w:hAnsi="Times New Roman" w:cs="Times New Roman"/>
        </w:rPr>
        <w:t xml:space="preserve"> integrating domestic violence into workplace assessments and employee training.</w:t>
      </w:r>
    </w:p>
    <w:p w14:paraId="5AEDA392" w14:textId="77777777" w:rsidR="0013031C" w:rsidRDefault="0013031C" w:rsidP="00BF4463">
      <w:pPr>
        <w:spacing w:line="360" w:lineRule="auto"/>
        <w:jc w:val="both"/>
        <w:rPr>
          <w:rFonts w:ascii="Times New Roman" w:hAnsi="Times New Roman" w:cs="Times New Roman"/>
        </w:rPr>
      </w:pPr>
    </w:p>
    <w:p w14:paraId="33D97676" w14:textId="03AE638C" w:rsidR="0025013A" w:rsidRDefault="00F17009" w:rsidP="00BF4463">
      <w:pPr>
        <w:spacing w:line="360" w:lineRule="auto"/>
        <w:jc w:val="both"/>
        <w:rPr>
          <w:rFonts w:ascii="Times New Roman" w:hAnsi="Times New Roman" w:cs="Times New Roman"/>
        </w:rPr>
      </w:pPr>
      <w:r>
        <w:rPr>
          <w:rFonts w:ascii="Times New Roman" w:hAnsi="Times New Roman" w:cs="Times New Roman"/>
        </w:rPr>
        <w:t xml:space="preserve">Supplementary to the legislative requirements of employers are the obligations the Convention places on union groups. Unions form an integral part of Convention 190 implementation, given their intermediary position between the worker and the employer. They represent the </w:t>
      </w:r>
      <w:r w:rsidR="00750437">
        <w:rPr>
          <w:rFonts w:ascii="Times New Roman" w:hAnsi="Times New Roman" w:cs="Times New Roman"/>
        </w:rPr>
        <w:t xml:space="preserve">vast </w:t>
      </w:r>
      <w:r>
        <w:rPr>
          <w:rFonts w:ascii="Times New Roman" w:hAnsi="Times New Roman" w:cs="Times New Roman"/>
        </w:rPr>
        <w:t>protecti</w:t>
      </w:r>
      <w:r w:rsidR="00750437">
        <w:rPr>
          <w:rFonts w:ascii="Times New Roman" w:hAnsi="Times New Roman" w:cs="Times New Roman"/>
        </w:rPr>
        <w:t>ve branch</w:t>
      </w:r>
      <w:r>
        <w:rPr>
          <w:rFonts w:ascii="Times New Roman" w:hAnsi="Times New Roman" w:cs="Times New Roman"/>
        </w:rPr>
        <w:t xml:space="preserve"> of the Convention in this way, as they advocate </w:t>
      </w:r>
      <w:r w:rsidR="00750437">
        <w:rPr>
          <w:rFonts w:ascii="Times New Roman" w:hAnsi="Times New Roman" w:cs="Times New Roman"/>
        </w:rPr>
        <w:t>for groups</w:t>
      </w:r>
      <w:r>
        <w:rPr>
          <w:rFonts w:ascii="Times New Roman" w:hAnsi="Times New Roman" w:cs="Times New Roman"/>
        </w:rPr>
        <w:t xml:space="preserve"> rendered more vulnerable to abusive workplace behaviours</w:t>
      </w:r>
      <w:r w:rsidR="00063508">
        <w:rPr>
          <w:rFonts w:ascii="Times New Roman" w:hAnsi="Times New Roman" w:cs="Times New Roman"/>
        </w:rPr>
        <w:t>. Unions have an obligation not only to create awareness for Convention 190 and its ratification, but to use the Convention’s provisions and guiding materials in bargaining and resource distribution. They must work in consultation with employers and the state, who are obliged to develop workplace policy and provide resources and training in partnership with trade unions.</w:t>
      </w:r>
      <w:r w:rsidR="00DF46E6">
        <w:rPr>
          <w:rStyle w:val="FootnoteReference"/>
          <w:rFonts w:ascii="Times New Roman" w:hAnsi="Times New Roman" w:cs="Times New Roman"/>
        </w:rPr>
        <w:footnoteReference w:id="17"/>
      </w:r>
      <w:r w:rsidR="0012039D">
        <w:rPr>
          <w:rFonts w:ascii="Times New Roman" w:hAnsi="Times New Roman" w:cs="Times New Roman"/>
        </w:rPr>
        <w:t xml:space="preserve"> </w:t>
      </w:r>
    </w:p>
    <w:p w14:paraId="542DA5A2" w14:textId="77777777" w:rsidR="000E7F2F" w:rsidRDefault="000E7F2F" w:rsidP="00BF4463">
      <w:pPr>
        <w:spacing w:line="360" w:lineRule="auto"/>
        <w:jc w:val="both"/>
        <w:rPr>
          <w:rFonts w:ascii="Times New Roman" w:hAnsi="Times New Roman" w:cs="Times New Roman"/>
        </w:rPr>
      </w:pPr>
    </w:p>
    <w:p w14:paraId="6D6144F4" w14:textId="25278C25" w:rsidR="0012039D" w:rsidRDefault="0012039D" w:rsidP="00BF4463">
      <w:pPr>
        <w:spacing w:line="360" w:lineRule="auto"/>
        <w:jc w:val="both"/>
        <w:rPr>
          <w:rFonts w:ascii="Times New Roman" w:hAnsi="Times New Roman" w:cs="Times New Roman"/>
        </w:rPr>
      </w:pPr>
      <w:r>
        <w:rPr>
          <w:rFonts w:ascii="Times New Roman" w:hAnsi="Times New Roman" w:cs="Times New Roman"/>
        </w:rPr>
        <w:t xml:space="preserve">Finally, Convention 190 demands an effective framework of enforcement mechanisms to provide remedy and support to those suffering violence and harassment in the world of work. </w:t>
      </w:r>
      <w:r w:rsidR="000B4063">
        <w:rPr>
          <w:rFonts w:ascii="Times New Roman" w:hAnsi="Times New Roman" w:cs="Times New Roman"/>
        </w:rPr>
        <w:t xml:space="preserve">This involves a strengthening of monitoring systems </w:t>
      </w:r>
      <w:r w:rsidR="00366970">
        <w:rPr>
          <w:rFonts w:ascii="Times New Roman" w:hAnsi="Times New Roman" w:cs="Times New Roman"/>
        </w:rPr>
        <w:t xml:space="preserve">to ensure access to remedial services </w:t>
      </w:r>
      <w:proofErr w:type="gramStart"/>
      <w:r w:rsidR="000E7F2F">
        <w:rPr>
          <w:rFonts w:ascii="Times New Roman" w:hAnsi="Times New Roman" w:cs="Times New Roman"/>
        </w:rPr>
        <w:t xml:space="preserve">are </w:t>
      </w:r>
      <w:r w:rsidR="00366970">
        <w:rPr>
          <w:rFonts w:ascii="Times New Roman" w:hAnsi="Times New Roman" w:cs="Times New Roman"/>
        </w:rPr>
        <w:t>able to</w:t>
      </w:r>
      <w:proofErr w:type="gramEnd"/>
      <w:r w:rsidR="00366970">
        <w:rPr>
          <w:rFonts w:ascii="Times New Roman" w:hAnsi="Times New Roman" w:cs="Times New Roman"/>
        </w:rPr>
        <w:t xml:space="preserve"> provide enforcement in relation to the experience of the worker. </w:t>
      </w:r>
      <w:proofErr w:type="gramStart"/>
      <w:r w:rsidR="00366970">
        <w:rPr>
          <w:rFonts w:ascii="Times New Roman" w:hAnsi="Times New Roman" w:cs="Times New Roman"/>
        </w:rPr>
        <w:t>In regard to</w:t>
      </w:r>
      <w:proofErr w:type="gramEnd"/>
      <w:r w:rsidR="00366970">
        <w:rPr>
          <w:rFonts w:ascii="Times New Roman" w:hAnsi="Times New Roman" w:cs="Times New Roman"/>
        </w:rPr>
        <w:t xml:space="preserve"> gender-based incidents, there must be a gender</w:t>
      </w:r>
      <w:r w:rsidR="00197FFC">
        <w:rPr>
          <w:rFonts w:ascii="Times New Roman" w:hAnsi="Times New Roman" w:cs="Times New Roman"/>
        </w:rPr>
        <w:t xml:space="preserve"> </w:t>
      </w:r>
      <w:r w:rsidR="00366970">
        <w:rPr>
          <w:rFonts w:ascii="Times New Roman" w:hAnsi="Times New Roman" w:cs="Times New Roman"/>
        </w:rPr>
        <w:t xml:space="preserve">responsive body that facilitates effective complaints and dispute resolutions processes, with the authority to remove workers from dangerous work situations. </w:t>
      </w:r>
      <w:r w:rsidR="00A03F56">
        <w:rPr>
          <w:rFonts w:ascii="Times New Roman" w:hAnsi="Times New Roman" w:cs="Times New Roman"/>
        </w:rPr>
        <w:t xml:space="preserve">This involves an institutional amendment to current workplace support systems to provide enforcement for harassment violations that occur under the widened scope of </w:t>
      </w:r>
      <w:r w:rsidR="00A03F56">
        <w:rPr>
          <w:rFonts w:ascii="Times New Roman" w:hAnsi="Times New Roman" w:cs="Times New Roman"/>
        </w:rPr>
        <w:lastRenderedPageBreak/>
        <w:t>Convention 190.</w:t>
      </w:r>
      <w:r w:rsidR="00A03F56">
        <w:rPr>
          <w:rStyle w:val="FootnoteReference"/>
          <w:rFonts w:ascii="Times New Roman" w:hAnsi="Times New Roman" w:cs="Times New Roman"/>
        </w:rPr>
        <w:footnoteReference w:id="18"/>
      </w:r>
      <w:r w:rsidR="005C598C">
        <w:rPr>
          <w:rFonts w:ascii="Times New Roman" w:hAnsi="Times New Roman" w:cs="Times New Roman"/>
        </w:rPr>
        <w:t xml:space="preserve"> Checklists on workplace policy</w:t>
      </w:r>
      <w:r w:rsidR="005C598C">
        <w:rPr>
          <w:rStyle w:val="FootnoteReference"/>
          <w:rFonts w:ascii="Times New Roman" w:hAnsi="Times New Roman" w:cs="Times New Roman"/>
        </w:rPr>
        <w:footnoteReference w:id="19"/>
      </w:r>
      <w:r w:rsidR="005C598C">
        <w:rPr>
          <w:rFonts w:ascii="Times New Roman" w:hAnsi="Times New Roman" w:cs="Times New Roman"/>
        </w:rPr>
        <w:t xml:space="preserve"> and domestic violence</w:t>
      </w:r>
      <w:r w:rsidR="005C598C">
        <w:rPr>
          <w:rStyle w:val="FootnoteReference"/>
          <w:rFonts w:ascii="Times New Roman" w:hAnsi="Times New Roman" w:cs="Times New Roman"/>
        </w:rPr>
        <w:footnoteReference w:id="20"/>
      </w:r>
      <w:r w:rsidR="005C598C">
        <w:rPr>
          <w:rFonts w:ascii="Times New Roman" w:hAnsi="Times New Roman" w:cs="Times New Roman"/>
        </w:rPr>
        <w:t xml:space="preserve"> outlined in the Facilitator Guide in accordance with Recommendation 206 provide a useful foundation for inserting information on enforcement mechanisms in workplace code of conducts. Once remedy and support systems are institutionally enhanced, workers must be made aware of remedial options and know they have support from their employer should they choose to pursue one.</w:t>
      </w:r>
    </w:p>
    <w:p w14:paraId="2C954B40" w14:textId="76749BC8" w:rsidR="005C598C" w:rsidRDefault="005C598C" w:rsidP="00BF4463">
      <w:pPr>
        <w:spacing w:line="360" w:lineRule="auto"/>
        <w:jc w:val="both"/>
        <w:rPr>
          <w:rFonts w:ascii="Times New Roman" w:hAnsi="Times New Roman" w:cs="Times New Roman"/>
        </w:rPr>
      </w:pPr>
    </w:p>
    <w:p w14:paraId="59E01F89" w14:textId="30582211" w:rsidR="006F0CDB" w:rsidRPr="00573F35" w:rsidRDefault="005C598C" w:rsidP="00BF4463">
      <w:pPr>
        <w:pStyle w:val="Heading1"/>
        <w:spacing w:line="360" w:lineRule="auto"/>
        <w:rPr>
          <w:rFonts w:ascii="Times New Roman" w:hAnsi="Times New Roman" w:cs="Times New Roman"/>
          <w:sz w:val="28"/>
          <w:szCs w:val="28"/>
        </w:rPr>
      </w:pPr>
      <w:bookmarkStart w:id="12" w:name="_Toc87264442"/>
      <w:bookmarkStart w:id="13" w:name="_Toc92724688"/>
      <w:bookmarkStart w:id="14" w:name="_Toc92724713"/>
      <w:r w:rsidRPr="00573F35">
        <w:rPr>
          <w:rFonts w:ascii="Times New Roman" w:hAnsi="Times New Roman" w:cs="Times New Roman"/>
          <w:sz w:val="28"/>
          <w:szCs w:val="28"/>
        </w:rPr>
        <w:t>Part Two</w:t>
      </w:r>
      <w:bookmarkEnd w:id="12"/>
      <w:bookmarkEnd w:id="13"/>
      <w:bookmarkEnd w:id="14"/>
    </w:p>
    <w:p w14:paraId="1B33A835" w14:textId="3456DD70" w:rsidR="005C598C" w:rsidRPr="00573F35" w:rsidRDefault="005C598C" w:rsidP="00BF4463">
      <w:pPr>
        <w:pStyle w:val="Heading2"/>
        <w:spacing w:line="360" w:lineRule="auto"/>
        <w:rPr>
          <w:rFonts w:ascii="Times New Roman" w:hAnsi="Times New Roman" w:cs="Times New Roman"/>
          <w:b/>
          <w:bCs/>
          <w:sz w:val="24"/>
          <w:szCs w:val="24"/>
        </w:rPr>
      </w:pPr>
      <w:bookmarkStart w:id="15" w:name="_Toc87264443"/>
      <w:bookmarkStart w:id="16" w:name="_Toc92724689"/>
      <w:bookmarkStart w:id="17" w:name="_Toc92724714"/>
      <w:r w:rsidRPr="00573F35">
        <w:rPr>
          <w:rFonts w:ascii="Times New Roman" w:hAnsi="Times New Roman" w:cs="Times New Roman"/>
          <w:sz w:val="24"/>
          <w:szCs w:val="24"/>
        </w:rPr>
        <w:t xml:space="preserve">New Zealand’s </w:t>
      </w:r>
      <w:r w:rsidR="00D275D3">
        <w:rPr>
          <w:rFonts w:ascii="Times New Roman" w:hAnsi="Times New Roman" w:cs="Times New Roman"/>
          <w:sz w:val="24"/>
          <w:szCs w:val="24"/>
        </w:rPr>
        <w:t>L</w:t>
      </w:r>
      <w:r w:rsidRPr="00573F35">
        <w:rPr>
          <w:rFonts w:ascii="Times New Roman" w:hAnsi="Times New Roman" w:cs="Times New Roman"/>
          <w:sz w:val="24"/>
          <w:szCs w:val="24"/>
        </w:rPr>
        <w:t xml:space="preserve">ack of </w:t>
      </w:r>
      <w:r w:rsidR="00D275D3">
        <w:rPr>
          <w:rFonts w:ascii="Times New Roman" w:hAnsi="Times New Roman" w:cs="Times New Roman"/>
          <w:sz w:val="24"/>
          <w:szCs w:val="24"/>
        </w:rPr>
        <w:t>R</w:t>
      </w:r>
      <w:r w:rsidRPr="00573F35">
        <w:rPr>
          <w:rFonts w:ascii="Times New Roman" w:hAnsi="Times New Roman" w:cs="Times New Roman"/>
          <w:sz w:val="24"/>
          <w:szCs w:val="24"/>
        </w:rPr>
        <w:t>atification</w:t>
      </w:r>
      <w:bookmarkEnd w:id="15"/>
      <w:bookmarkEnd w:id="16"/>
      <w:bookmarkEnd w:id="17"/>
      <w:r w:rsidRPr="00573F35">
        <w:rPr>
          <w:rFonts w:ascii="Times New Roman" w:hAnsi="Times New Roman" w:cs="Times New Roman"/>
          <w:sz w:val="24"/>
          <w:szCs w:val="24"/>
        </w:rPr>
        <w:t xml:space="preserve"> </w:t>
      </w:r>
    </w:p>
    <w:p w14:paraId="0C918AD2" w14:textId="46875AA7" w:rsidR="0017394C" w:rsidRDefault="0017394C" w:rsidP="00BF4463">
      <w:pPr>
        <w:spacing w:line="360" w:lineRule="auto"/>
        <w:jc w:val="both"/>
        <w:rPr>
          <w:rFonts w:ascii="Times New Roman" w:hAnsi="Times New Roman" w:cs="Times New Roman"/>
        </w:rPr>
      </w:pPr>
    </w:p>
    <w:p w14:paraId="7F54B9FC" w14:textId="793825EE" w:rsidR="00CE15CB" w:rsidRDefault="007209A2" w:rsidP="00BF4463">
      <w:pPr>
        <w:spacing w:line="360" w:lineRule="auto"/>
        <w:jc w:val="both"/>
        <w:rPr>
          <w:rFonts w:ascii="Times New Roman" w:hAnsi="Times New Roman" w:cs="Times New Roman"/>
          <w:lang w:val="en-NZ"/>
        </w:rPr>
      </w:pPr>
      <w:r>
        <w:rPr>
          <w:rFonts w:ascii="Times New Roman" w:hAnsi="Times New Roman" w:cs="Times New Roman"/>
        </w:rPr>
        <w:t>It is surprising that New Zealand has not elected to ratify Convention 190.</w:t>
      </w:r>
      <w:r w:rsidR="006F0CDB">
        <w:rPr>
          <w:rFonts w:ascii="Times New Roman" w:hAnsi="Times New Roman" w:cs="Times New Roman"/>
        </w:rPr>
        <w:t xml:space="preserve"> As previously mentioned, New Zealand ratified Convention 111 on 3 June 1983. This</w:t>
      </w:r>
      <w:r w:rsidR="00B13CC6">
        <w:rPr>
          <w:rFonts w:ascii="Times New Roman" w:hAnsi="Times New Roman" w:cs="Times New Roman"/>
        </w:rPr>
        <w:t xml:space="preserve"> agreement constitutes</w:t>
      </w:r>
      <w:r w:rsidR="006F0CDB">
        <w:rPr>
          <w:rFonts w:ascii="Times New Roman" w:hAnsi="Times New Roman" w:cs="Times New Roman"/>
        </w:rPr>
        <w:t xml:space="preserve"> one of eight fundamental ILO </w:t>
      </w:r>
      <w:r w:rsidR="00B13CC6">
        <w:rPr>
          <w:rFonts w:ascii="Times New Roman" w:hAnsi="Times New Roman" w:cs="Times New Roman"/>
        </w:rPr>
        <w:t>Conventions</w:t>
      </w:r>
      <w:r w:rsidR="006F0CDB">
        <w:rPr>
          <w:rFonts w:ascii="Times New Roman" w:hAnsi="Times New Roman" w:cs="Times New Roman"/>
        </w:rPr>
        <w:t xml:space="preserve"> addressing core labour rights, all of which must be upheld and reported on by Member states regardless of ratification status. </w:t>
      </w:r>
      <w:r w:rsidR="00242C55">
        <w:rPr>
          <w:rFonts w:ascii="Times New Roman" w:hAnsi="Times New Roman" w:cs="Times New Roman"/>
        </w:rPr>
        <w:t xml:space="preserve">The obligations outlined in Article 3 of Convention 111 provide for the enactment of legislation and education programmes, workers’ organisation outreach and national authoritative training to effect </w:t>
      </w:r>
      <w:r w:rsidR="00C65A04">
        <w:rPr>
          <w:rFonts w:ascii="Times New Roman" w:hAnsi="Times New Roman" w:cs="Times New Roman"/>
        </w:rPr>
        <w:t xml:space="preserve">anti-discriminative employment </w:t>
      </w:r>
      <w:r w:rsidR="00242C55">
        <w:rPr>
          <w:rFonts w:ascii="Times New Roman" w:hAnsi="Times New Roman" w:cs="Times New Roman"/>
        </w:rPr>
        <w:t>policy</w:t>
      </w:r>
      <w:r w:rsidR="002E5F18">
        <w:rPr>
          <w:rFonts w:ascii="Times New Roman" w:hAnsi="Times New Roman" w:cs="Times New Roman"/>
        </w:rPr>
        <w:t>.</w:t>
      </w:r>
      <w:r w:rsidR="002E5F18">
        <w:rPr>
          <w:rStyle w:val="FootnoteReference"/>
          <w:rFonts w:ascii="Times New Roman" w:hAnsi="Times New Roman" w:cs="Times New Roman"/>
        </w:rPr>
        <w:footnoteReference w:id="21"/>
      </w:r>
      <w:r w:rsidR="00DC0799">
        <w:rPr>
          <w:rFonts w:ascii="Times New Roman" w:hAnsi="Times New Roman" w:cs="Times New Roman"/>
        </w:rPr>
        <w:t xml:space="preserve"> This would promote the underlying aspirations of the Convention; namely to create equality of opportunity and treatment in respect of employment and occupation.</w:t>
      </w:r>
      <w:r w:rsidR="00DC0799">
        <w:rPr>
          <w:rStyle w:val="FootnoteReference"/>
          <w:rFonts w:ascii="Times New Roman" w:hAnsi="Times New Roman" w:cs="Times New Roman"/>
        </w:rPr>
        <w:footnoteReference w:id="22"/>
      </w:r>
      <w:r w:rsidR="00DC0799">
        <w:rPr>
          <w:rFonts w:ascii="Times New Roman" w:hAnsi="Times New Roman" w:cs="Times New Roman"/>
        </w:rPr>
        <w:t xml:space="preserve"> Arguably the most blatant overlap between these obligations and those under Convention 190 is the emphasis placed on </w:t>
      </w:r>
      <w:r w:rsidR="00A74482">
        <w:rPr>
          <w:rFonts w:ascii="Times New Roman" w:hAnsi="Times New Roman" w:cs="Times New Roman"/>
        </w:rPr>
        <w:t>neutralising gender as</w:t>
      </w:r>
      <w:r w:rsidR="000E7F2F">
        <w:rPr>
          <w:rFonts w:ascii="Times New Roman" w:hAnsi="Times New Roman" w:cs="Times New Roman"/>
        </w:rPr>
        <w:t xml:space="preserve"> a</w:t>
      </w:r>
      <w:r w:rsidR="00A74482">
        <w:rPr>
          <w:rFonts w:ascii="Times New Roman" w:hAnsi="Times New Roman" w:cs="Times New Roman"/>
        </w:rPr>
        <w:t xml:space="preserve"> driver for workplace discrimination and harassment. In 2020, the New Zealand government reported to the ILO Committee of Experts on the Application of Conventions and Recommendations (the Committee) measures taken for the application of implementation of Convention 111 in national policy. This involved the development of a government-union coordinated ‘Standard Policy for the Prevention and Response to Sexual Harassment in the Public Service</w:t>
      </w:r>
      <w:r w:rsidR="006D3DC9">
        <w:rPr>
          <w:rFonts w:ascii="Times New Roman" w:hAnsi="Times New Roman" w:cs="Times New Roman"/>
        </w:rPr>
        <w:t xml:space="preserve">’ and </w:t>
      </w:r>
      <w:r w:rsidR="006D20BE">
        <w:rPr>
          <w:rFonts w:ascii="Times New Roman" w:hAnsi="Times New Roman" w:cs="Times New Roman"/>
        </w:rPr>
        <w:t>annual collection of sexual harassment data as a part of the Human Resource Capability Survey.</w:t>
      </w:r>
      <w:r w:rsidR="006D20BE">
        <w:rPr>
          <w:rStyle w:val="FootnoteReference"/>
          <w:rFonts w:ascii="Times New Roman" w:hAnsi="Times New Roman" w:cs="Times New Roman"/>
        </w:rPr>
        <w:footnoteReference w:id="23"/>
      </w:r>
      <w:r w:rsidR="006D20BE">
        <w:rPr>
          <w:rFonts w:ascii="Times New Roman" w:hAnsi="Times New Roman" w:cs="Times New Roman"/>
        </w:rPr>
        <w:t xml:space="preserve"> However, with lacking information on exactly how the policy was to be applied and no follow-up mechanism to address sexual harassment complaints collected in the survey, subsequent </w:t>
      </w:r>
      <w:r w:rsidR="006D20BE">
        <w:rPr>
          <w:rFonts w:ascii="Times New Roman" w:hAnsi="Times New Roman" w:cs="Times New Roman"/>
        </w:rPr>
        <w:lastRenderedPageBreak/>
        <w:t>reports criticised national efforts to eradicate workplace discrimination. The Committee noted expression</w:t>
      </w:r>
      <w:r w:rsidR="00B722DE">
        <w:rPr>
          <w:rFonts w:ascii="Times New Roman" w:hAnsi="Times New Roman" w:cs="Times New Roman"/>
        </w:rPr>
        <w:t>s</w:t>
      </w:r>
      <w:r w:rsidR="006D20BE">
        <w:rPr>
          <w:rFonts w:ascii="Times New Roman" w:hAnsi="Times New Roman" w:cs="Times New Roman"/>
        </w:rPr>
        <w:t xml:space="preserve"> of concern made by the Committee on the Elimination of Discrimination against Women (C</w:t>
      </w:r>
      <w:r w:rsidR="00960EB0">
        <w:rPr>
          <w:rFonts w:ascii="Times New Roman" w:hAnsi="Times New Roman" w:cs="Times New Roman"/>
        </w:rPr>
        <w:t xml:space="preserve">ommittee on the </w:t>
      </w:r>
      <w:r w:rsidR="006D20BE">
        <w:rPr>
          <w:rFonts w:ascii="Times New Roman" w:hAnsi="Times New Roman" w:cs="Times New Roman"/>
        </w:rPr>
        <w:t xml:space="preserve">EDAW) in 2018 </w:t>
      </w:r>
      <w:r w:rsidR="00B722DE">
        <w:rPr>
          <w:rFonts w:ascii="Times New Roman" w:hAnsi="Times New Roman" w:cs="Times New Roman"/>
        </w:rPr>
        <w:t>about “the high number of cases of sexual harassment in the workplace, in particular within the police, the defence force, the legal professions an</w:t>
      </w:r>
      <w:r w:rsidR="00DE3761">
        <w:rPr>
          <w:rFonts w:ascii="Times New Roman" w:hAnsi="Times New Roman" w:cs="Times New Roman"/>
        </w:rPr>
        <w:t>d t</w:t>
      </w:r>
      <w:r w:rsidR="00B722DE">
        <w:rPr>
          <w:rFonts w:ascii="Times New Roman" w:hAnsi="Times New Roman" w:cs="Times New Roman"/>
        </w:rPr>
        <w:t>he health sector” as well as the underreporting of such incidents.</w:t>
      </w:r>
      <w:r w:rsidR="00B722DE">
        <w:rPr>
          <w:rStyle w:val="FootnoteReference"/>
          <w:rFonts w:ascii="Times New Roman" w:hAnsi="Times New Roman" w:cs="Times New Roman"/>
        </w:rPr>
        <w:footnoteReference w:id="24"/>
      </w:r>
      <w:r w:rsidR="00773A37">
        <w:rPr>
          <w:rFonts w:ascii="Times New Roman" w:hAnsi="Times New Roman" w:cs="Times New Roman"/>
        </w:rPr>
        <w:t xml:space="preserve"> </w:t>
      </w:r>
      <w:r w:rsidR="00DE3761">
        <w:rPr>
          <w:rFonts w:ascii="Times New Roman" w:hAnsi="Times New Roman" w:cs="Times New Roman"/>
        </w:rPr>
        <w:t>CEDAW made further comments on the “alarmingly high level” of gender-based violence against women, with disproportionate impacts found against M</w:t>
      </w:r>
      <w:r w:rsidR="000E7F2F">
        <w:rPr>
          <w:rFonts w:ascii="Times New Roman" w:hAnsi="Times New Roman" w:cs="Times New Roman"/>
        </w:rPr>
        <w:t>ā</w:t>
      </w:r>
      <w:r w:rsidR="00DE3761">
        <w:rPr>
          <w:rFonts w:ascii="Times New Roman" w:hAnsi="Times New Roman" w:cs="Times New Roman"/>
        </w:rPr>
        <w:t>ori women, women belonging to ethnic minority groups, transgender women and women with disabilities.</w:t>
      </w:r>
      <w:r w:rsidR="00DE3761">
        <w:rPr>
          <w:rStyle w:val="FootnoteReference"/>
          <w:rFonts w:ascii="Times New Roman" w:hAnsi="Times New Roman" w:cs="Times New Roman"/>
        </w:rPr>
        <w:footnoteReference w:id="25"/>
      </w:r>
      <w:r w:rsidR="00EF7A0A">
        <w:rPr>
          <w:rFonts w:ascii="Times New Roman" w:hAnsi="Times New Roman" w:cs="Times New Roman"/>
        </w:rPr>
        <w:t xml:space="preserve"> In accordance</w:t>
      </w:r>
      <w:r w:rsidR="00524A0D">
        <w:rPr>
          <w:rFonts w:ascii="Times New Roman" w:hAnsi="Times New Roman" w:cs="Times New Roman"/>
        </w:rPr>
        <w:t xml:space="preserve"> with international obligations under the CEDAW Convention, New Zealand must work to remedy these issues by </w:t>
      </w:r>
      <w:r w:rsidR="00524A0D" w:rsidRPr="00524A0D">
        <w:rPr>
          <w:rFonts w:ascii="Times New Roman" w:hAnsi="Times New Roman" w:cs="Times New Roman"/>
          <w:lang w:val="en-NZ"/>
        </w:rPr>
        <w:t>tak</w:t>
      </w:r>
      <w:r w:rsidR="00524A0D">
        <w:rPr>
          <w:rFonts w:ascii="Times New Roman" w:hAnsi="Times New Roman" w:cs="Times New Roman"/>
          <w:lang w:val="en-NZ"/>
        </w:rPr>
        <w:t>ing</w:t>
      </w:r>
      <w:r w:rsidR="00524A0D" w:rsidRPr="00524A0D">
        <w:rPr>
          <w:rFonts w:ascii="Times New Roman" w:hAnsi="Times New Roman" w:cs="Times New Roman"/>
          <w:lang w:val="en-NZ"/>
        </w:rPr>
        <w:t xml:space="preserve"> </w:t>
      </w:r>
      <w:r w:rsidR="00524A0D">
        <w:rPr>
          <w:rFonts w:ascii="Times New Roman" w:hAnsi="Times New Roman" w:cs="Times New Roman"/>
          <w:lang w:val="en-NZ"/>
        </w:rPr>
        <w:t>“</w:t>
      </w:r>
      <w:r w:rsidR="00524A0D" w:rsidRPr="00524A0D">
        <w:rPr>
          <w:rFonts w:ascii="Times New Roman" w:hAnsi="Times New Roman" w:cs="Times New Roman"/>
          <w:lang w:val="en-NZ"/>
        </w:rPr>
        <w:t>all appropriate measures to eliminate discrimination against women in the field of employment</w:t>
      </w:r>
      <w:r w:rsidR="00524A0D">
        <w:rPr>
          <w:rFonts w:ascii="Times New Roman" w:hAnsi="Times New Roman" w:cs="Times New Roman"/>
          <w:lang w:val="en-NZ"/>
        </w:rPr>
        <w:t>” to ensure equal rights between men and women.</w:t>
      </w:r>
      <w:r w:rsidR="00524A0D">
        <w:rPr>
          <w:rStyle w:val="FootnoteReference"/>
          <w:rFonts w:ascii="Times New Roman" w:hAnsi="Times New Roman" w:cs="Times New Roman"/>
          <w:lang w:val="en-NZ"/>
        </w:rPr>
        <w:footnoteReference w:id="26"/>
      </w:r>
      <w:r w:rsidR="00524A0D">
        <w:rPr>
          <w:rFonts w:ascii="Times New Roman" w:hAnsi="Times New Roman" w:cs="Times New Roman"/>
          <w:lang w:val="en-NZ"/>
        </w:rPr>
        <w:t xml:space="preserve"> Article 23 of the UN Universal Declaration of Human Rights, home to </w:t>
      </w:r>
      <w:r w:rsidR="00E63F85">
        <w:rPr>
          <w:rFonts w:ascii="Times New Roman" w:hAnsi="Times New Roman" w:cs="Times New Roman"/>
          <w:lang w:val="en-NZ"/>
        </w:rPr>
        <w:t>numerous</w:t>
      </w:r>
      <w:r w:rsidR="00524A0D">
        <w:rPr>
          <w:rFonts w:ascii="Times New Roman" w:hAnsi="Times New Roman" w:cs="Times New Roman"/>
          <w:lang w:val="en-NZ"/>
        </w:rPr>
        <w:t xml:space="preserve"> principles considered international customary law, demonstrates further the importance of eliminating occupational discrimination. There, it is stated everyone has </w:t>
      </w:r>
      <w:r w:rsidR="00E63F85">
        <w:rPr>
          <w:rFonts w:ascii="Times New Roman" w:hAnsi="Times New Roman" w:cs="Times New Roman"/>
          <w:lang w:val="en-NZ"/>
        </w:rPr>
        <w:t>the right to free choice of employment, just and favourable conditions of work and equal pay for equal work, without discrimination.</w:t>
      </w:r>
      <w:r w:rsidR="00E63F85">
        <w:rPr>
          <w:rStyle w:val="FootnoteReference"/>
          <w:rFonts w:ascii="Times New Roman" w:hAnsi="Times New Roman" w:cs="Times New Roman"/>
          <w:lang w:val="en-NZ"/>
        </w:rPr>
        <w:footnoteReference w:id="27"/>
      </w:r>
      <w:r w:rsidR="00E63F85">
        <w:rPr>
          <w:rFonts w:ascii="Times New Roman" w:hAnsi="Times New Roman" w:cs="Times New Roman"/>
          <w:lang w:val="en-NZ"/>
        </w:rPr>
        <w:t xml:space="preserve"> </w:t>
      </w:r>
    </w:p>
    <w:p w14:paraId="15303BC6" w14:textId="77777777" w:rsidR="000E7F2F" w:rsidRDefault="000E7F2F" w:rsidP="00BF4463">
      <w:pPr>
        <w:spacing w:line="360" w:lineRule="auto"/>
        <w:jc w:val="both"/>
        <w:rPr>
          <w:rFonts w:ascii="Times New Roman" w:hAnsi="Times New Roman" w:cs="Times New Roman"/>
          <w:lang w:val="en-NZ"/>
        </w:rPr>
      </w:pPr>
    </w:p>
    <w:p w14:paraId="7431985B" w14:textId="126B324F" w:rsidR="00B76687" w:rsidRDefault="00E63F85" w:rsidP="00BF4463">
      <w:pPr>
        <w:spacing w:line="360" w:lineRule="auto"/>
        <w:jc w:val="both"/>
        <w:rPr>
          <w:rFonts w:ascii="Times New Roman" w:hAnsi="Times New Roman" w:cs="Times New Roman"/>
        </w:rPr>
      </w:pPr>
      <w:r>
        <w:rPr>
          <w:rFonts w:ascii="Times New Roman" w:hAnsi="Times New Roman" w:cs="Times New Roman"/>
          <w:lang w:val="en-NZ"/>
        </w:rPr>
        <w:t xml:space="preserve">Undoubtedly, New Zealand has ratified, and </w:t>
      </w:r>
      <w:r w:rsidR="005C5607">
        <w:rPr>
          <w:rFonts w:ascii="Times New Roman" w:hAnsi="Times New Roman" w:cs="Times New Roman"/>
          <w:lang w:val="en-NZ"/>
        </w:rPr>
        <w:t xml:space="preserve">legally </w:t>
      </w:r>
      <w:r>
        <w:rPr>
          <w:rFonts w:ascii="Times New Roman" w:hAnsi="Times New Roman" w:cs="Times New Roman"/>
          <w:lang w:val="en-NZ"/>
        </w:rPr>
        <w:t xml:space="preserve">bound itself to, the observance of anti-discrimination obligations in </w:t>
      </w:r>
      <w:r w:rsidR="005C5607">
        <w:rPr>
          <w:rFonts w:ascii="Times New Roman" w:hAnsi="Times New Roman" w:cs="Times New Roman"/>
          <w:lang w:val="en-NZ"/>
        </w:rPr>
        <w:t>the labour sector.</w:t>
      </w:r>
      <w:r w:rsidR="00A937DF">
        <w:rPr>
          <w:rStyle w:val="FootnoteReference"/>
          <w:rFonts w:ascii="Times New Roman" w:hAnsi="Times New Roman" w:cs="Times New Roman"/>
          <w:lang w:val="en-NZ"/>
        </w:rPr>
        <w:footnoteReference w:id="28"/>
      </w:r>
      <w:r w:rsidR="005C5607">
        <w:rPr>
          <w:rFonts w:ascii="Times New Roman" w:hAnsi="Times New Roman" w:cs="Times New Roman"/>
          <w:lang w:val="en-NZ"/>
        </w:rPr>
        <w:t xml:space="preserve"> </w:t>
      </w:r>
      <w:r w:rsidR="000A4F5F">
        <w:rPr>
          <w:rFonts w:ascii="Times New Roman" w:hAnsi="Times New Roman" w:cs="Times New Roman"/>
          <w:lang w:val="en-NZ"/>
        </w:rPr>
        <w:t>However, Convention 190 reflects an anti-discrimination movement that has already been advocated by the public, in civil society campaigns such as the ‘Me Too’ movement.</w:t>
      </w:r>
      <w:r w:rsidR="0031289F">
        <w:rPr>
          <w:rFonts w:ascii="Times New Roman" w:hAnsi="Times New Roman" w:cs="Times New Roman"/>
          <w:lang w:val="en-NZ"/>
        </w:rPr>
        <w:t xml:space="preserve"> </w:t>
      </w:r>
      <w:r w:rsidR="002B3307">
        <w:rPr>
          <w:rFonts w:ascii="Times New Roman" w:hAnsi="Times New Roman" w:cs="Times New Roman"/>
          <w:lang w:val="en-NZ"/>
        </w:rPr>
        <w:t xml:space="preserve">Gaining international traction in 2018, </w:t>
      </w:r>
      <w:r w:rsidR="0031289F">
        <w:rPr>
          <w:rFonts w:ascii="Times New Roman" w:hAnsi="Times New Roman" w:cs="Times New Roman"/>
          <w:lang w:val="en-NZ"/>
        </w:rPr>
        <w:t>‘#MeToo’ has transforme</w:t>
      </w:r>
      <w:r w:rsidR="00127881">
        <w:rPr>
          <w:rFonts w:ascii="Times New Roman" w:hAnsi="Times New Roman" w:cs="Times New Roman"/>
          <w:lang w:val="en-NZ"/>
        </w:rPr>
        <w:t xml:space="preserve">d into a slogan of empowerment for victims of sexual </w:t>
      </w:r>
      <w:r w:rsidR="00317E59">
        <w:rPr>
          <w:rFonts w:ascii="Times New Roman" w:hAnsi="Times New Roman" w:cs="Times New Roman"/>
          <w:lang w:val="en-NZ"/>
        </w:rPr>
        <w:t>harassment and abuse</w:t>
      </w:r>
      <w:r w:rsidR="00127881">
        <w:rPr>
          <w:rFonts w:ascii="Times New Roman" w:hAnsi="Times New Roman" w:cs="Times New Roman"/>
          <w:lang w:val="en-NZ"/>
        </w:rPr>
        <w:t xml:space="preserve">. As mentioned </w:t>
      </w:r>
      <w:r w:rsidR="00317E59">
        <w:rPr>
          <w:rFonts w:ascii="Times New Roman" w:hAnsi="Times New Roman" w:cs="Times New Roman"/>
          <w:lang w:val="en-NZ"/>
        </w:rPr>
        <w:t>previously</w:t>
      </w:r>
      <w:r w:rsidR="00127881">
        <w:rPr>
          <w:rFonts w:ascii="Times New Roman" w:hAnsi="Times New Roman" w:cs="Times New Roman"/>
          <w:lang w:val="en-NZ"/>
        </w:rPr>
        <w:t>, a case exposing the misc</w:t>
      </w:r>
      <w:r w:rsidR="00317E59">
        <w:rPr>
          <w:rFonts w:ascii="Times New Roman" w:hAnsi="Times New Roman" w:cs="Times New Roman"/>
          <w:lang w:val="en-NZ"/>
        </w:rPr>
        <w:t xml:space="preserve">onduct of a senior partner towards </w:t>
      </w:r>
      <w:r w:rsidR="00A9130F">
        <w:rPr>
          <w:rFonts w:ascii="Times New Roman" w:hAnsi="Times New Roman" w:cs="Times New Roman"/>
          <w:lang w:val="en-NZ"/>
        </w:rPr>
        <w:t>female interns</w:t>
      </w:r>
      <w:r w:rsidR="000A4120">
        <w:rPr>
          <w:rStyle w:val="FootnoteReference"/>
          <w:rFonts w:ascii="Times New Roman" w:hAnsi="Times New Roman" w:cs="Times New Roman"/>
          <w:lang w:val="en-NZ"/>
        </w:rPr>
        <w:footnoteReference w:id="29"/>
      </w:r>
      <w:r w:rsidR="00A9130F">
        <w:rPr>
          <w:rFonts w:ascii="Times New Roman" w:hAnsi="Times New Roman" w:cs="Times New Roman"/>
          <w:lang w:val="en-NZ"/>
        </w:rPr>
        <w:t xml:space="preserve"> not only discredited the ethical work processes of Russell McVeagh, but of the entire legal profession. These even</w:t>
      </w:r>
      <w:r w:rsidR="000A4120">
        <w:rPr>
          <w:rFonts w:ascii="Times New Roman" w:hAnsi="Times New Roman" w:cs="Times New Roman"/>
          <w:lang w:val="en-NZ"/>
        </w:rPr>
        <w:t xml:space="preserve">ts have an overwhelming impact on the engagement of the public because they embody widespread and deeply-embedded societal issues that people want to eradicate. Convention 190 provides a framework under international law that protects people from violence in the workplace. If the law is to adapt to developing societal values, Convention 190 provides a pivotal example of the union between state decision-making and the people it </w:t>
      </w:r>
      <w:r w:rsidR="000A4120">
        <w:rPr>
          <w:rFonts w:ascii="Times New Roman" w:hAnsi="Times New Roman" w:cs="Times New Roman"/>
          <w:lang w:val="en-NZ"/>
        </w:rPr>
        <w:lastRenderedPageBreak/>
        <w:t xml:space="preserve">governs. </w:t>
      </w:r>
      <w:r w:rsidR="00D54BDF">
        <w:rPr>
          <w:rFonts w:ascii="Times New Roman" w:hAnsi="Times New Roman" w:cs="Times New Roman"/>
        </w:rPr>
        <w:t>National Secretary</w:t>
      </w:r>
      <w:r w:rsidR="00CE15CB">
        <w:rPr>
          <w:rFonts w:ascii="Times New Roman" w:hAnsi="Times New Roman" w:cs="Times New Roman"/>
        </w:rPr>
        <w:t xml:space="preserve"> of the Public Service Association (PSA),</w:t>
      </w:r>
      <w:r w:rsidR="00D54BDF">
        <w:rPr>
          <w:rFonts w:ascii="Times New Roman" w:hAnsi="Times New Roman" w:cs="Times New Roman"/>
        </w:rPr>
        <w:t xml:space="preserve"> Erin </w:t>
      </w:r>
      <w:proofErr w:type="spellStart"/>
      <w:r w:rsidR="00D54BDF">
        <w:rPr>
          <w:rFonts w:ascii="Times New Roman" w:hAnsi="Times New Roman" w:cs="Times New Roman"/>
        </w:rPr>
        <w:t>Polaczuk</w:t>
      </w:r>
      <w:proofErr w:type="spellEnd"/>
      <w:r w:rsidR="00CE15CB">
        <w:rPr>
          <w:rFonts w:ascii="Times New Roman" w:hAnsi="Times New Roman" w:cs="Times New Roman"/>
        </w:rPr>
        <w:t>,</w:t>
      </w:r>
      <w:r w:rsidR="00D54BDF">
        <w:rPr>
          <w:rFonts w:ascii="Times New Roman" w:hAnsi="Times New Roman" w:cs="Times New Roman"/>
        </w:rPr>
        <w:t xml:space="preserve"> explain</w:t>
      </w:r>
      <w:r w:rsidR="00B76687">
        <w:rPr>
          <w:rFonts w:ascii="Times New Roman" w:hAnsi="Times New Roman" w:cs="Times New Roman"/>
        </w:rPr>
        <w:t>s:</w:t>
      </w:r>
      <w:r w:rsidR="00B76687">
        <w:rPr>
          <w:rStyle w:val="FootnoteReference"/>
          <w:rFonts w:ascii="Times New Roman" w:hAnsi="Times New Roman" w:cs="Times New Roman"/>
        </w:rPr>
        <w:footnoteReference w:id="30"/>
      </w:r>
      <w:r w:rsidR="00B76687">
        <w:rPr>
          <w:rFonts w:ascii="Times New Roman" w:hAnsi="Times New Roman" w:cs="Times New Roman"/>
        </w:rPr>
        <w:t xml:space="preserve"> </w:t>
      </w:r>
    </w:p>
    <w:p w14:paraId="7ED06B13" w14:textId="77777777" w:rsidR="00B76687" w:rsidRDefault="00B76687" w:rsidP="00BF4463">
      <w:pPr>
        <w:spacing w:line="360" w:lineRule="auto"/>
        <w:jc w:val="both"/>
        <w:rPr>
          <w:rFonts w:ascii="Times New Roman" w:hAnsi="Times New Roman" w:cs="Times New Roman"/>
          <w:lang w:val="en-NZ"/>
        </w:rPr>
      </w:pPr>
    </w:p>
    <w:p w14:paraId="15F60710" w14:textId="18F1F1E9" w:rsidR="00B76687" w:rsidRDefault="00B76687" w:rsidP="00BF4463">
      <w:pPr>
        <w:spacing w:line="360" w:lineRule="auto"/>
        <w:ind w:left="567" w:right="521"/>
        <w:jc w:val="both"/>
        <w:rPr>
          <w:rFonts w:ascii="Times New Roman" w:hAnsi="Times New Roman" w:cs="Times New Roman"/>
          <w:lang w:val="en-NZ"/>
        </w:rPr>
      </w:pPr>
      <w:r w:rsidRPr="00B76687">
        <w:rPr>
          <w:rFonts w:ascii="Times New Roman" w:hAnsi="Times New Roman" w:cs="Times New Roman"/>
          <w:sz w:val="22"/>
          <w:szCs w:val="22"/>
          <w:lang w:val="en-NZ"/>
        </w:rPr>
        <w:t>W</w:t>
      </w:r>
      <w:r w:rsidR="00CE15CB" w:rsidRPr="00B76687">
        <w:rPr>
          <w:rFonts w:ascii="Times New Roman" w:hAnsi="Times New Roman" w:cs="Times New Roman"/>
          <w:sz w:val="22"/>
          <w:szCs w:val="22"/>
          <w:lang w:val="en-NZ"/>
        </w:rPr>
        <w:t>e tend to think of violence as something that happens to women at home, behind closed doors, but workplaces are not always safe either. Too many New Zealanders face violence, harassment or intimidation at work, whether from abusive partners, clients or colleagues</w:t>
      </w:r>
      <w:r>
        <w:rPr>
          <w:rFonts w:ascii="Times New Roman" w:hAnsi="Times New Roman" w:cs="Times New Roman"/>
          <w:sz w:val="22"/>
          <w:szCs w:val="22"/>
          <w:lang w:val="en-NZ"/>
        </w:rPr>
        <w:t>.</w:t>
      </w:r>
    </w:p>
    <w:p w14:paraId="0D898E21" w14:textId="711E51B7" w:rsidR="00B76687" w:rsidRDefault="00B76687" w:rsidP="00BF4463">
      <w:pPr>
        <w:spacing w:line="360" w:lineRule="auto"/>
        <w:ind w:left="567" w:right="521"/>
        <w:jc w:val="both"/>
        <w:rPr>
          <w:rFonts w:ascii="Times New Roman" w:hAnsi="Times New Roman" w:cs="Times New Roman"/>
          <w:lang w:val="en-NZ"/>
        </w:rPr>
      </w:pPr>
    </w:p>
    <w:p w14:paraId="3331CF7E" w14:textId="47359A42" w:rsidR="00B76687" w:rsidRDefault="00DF36D2" w:rsidP="00BF4463">
      <w:pPr>
        <w:spacing w:line="360" w:lineRule="auto"/>
        <w:ind w:right="-46"/>
        <w:jc w:val="both"/>
        <w:rPr>
          <w:rFonts w:ascii="Times New Roman" w:hAnsi="Times New Roman" w:cs="Times New Roman"/>
          <w:lang w:val="en-NZ"/>
        </w:rPr>
      </w:pPr>
      <w:r>
        <w:rPr>
          <w:rFonts w:ascii="Times New Roman" w:hAnsi="Times New Roman" w:cs="Times New Roman"/>
          <w:lang w:val="en-NZ"/>
        </w:rPr>
        <w:t xml:space="preserve">It is therefore crucial, particularly for industries that experience higher levels of workplace discrimination, that a journey towards ratifying Convention 190 becomes present in both public and governmental discourse. </w:t>
      </w:r>
      <w:r w:rsidR="007210F6">
        <w:rPr>
          <w:rFonts w:ascii="Times New Roman" w:hAnsi="Times New Roman" w:cs="Times New Roman"/>
          <w:lang w:val="en-NZ"/>
        </w:rPr>
        <w:t>In a 2018 report conducted by Stats NZ on discrimination rates by occupation, the largest discrepancies between men and women were observed by machinery operators, professionals including school teachers and nurses, and clerical or administrative workers.</w:t>
      </w:r>
      <w:r w:rsidR="00DE1580">
        <w:rPr>
          <w:rStyle w:val="FootnoteReference"/>
          <w:rFonts w:ascii="Times New Roman" w:hAnsi="Times New Roman" w:cs="Times New Roman"/>
          <w:lang w:val="en-NZ"/>
        </w:rPr>
        <w:footnoteReference w:id="31"/>
      </w:r>
    </w:p>
    <w:p w14:paraId="6E6BA686" w14:textId="77777777" w:rsidR="00330B36" w:rsidRDefault="00330B36" w:rsidP="00BF4463">
      <w:pPr>
        <w:spacing w:line="360" w:lineRule="auto"/>
        <w:ind w:right="-46"/>
        <w:jc w:val="both"/>
        <w:rPr>
          <w:rFonts w:ascii="Times New Roman" w:hAnsi="Times New Roman" w:cs="Times New Roman"/>
          <w:lang w:val="en-NZ"/>
        </w:rPr>
      </w:pPr>
    </w:p>
    <w:p w14:paraId="1D0E883B" w14:textId="2ABEC156" w:rsidR="006C4D37" w:rsidRPr="009D094A" w:rsidRDefault="00330B36" w:rsidP="00BF4463">
      <w:pPr>
        <w:spacing w:line="360" w:lineRule="auto"/>
        <w:ind w:right="521"/>
        <w:jc w:val="both"/>
        <w:rPr>
          <w:rFonts w:ascii="Times New Roman" w:hAnsi="Times New Roman" w:cs="Times New Roman"/>
          <w:sz w:val="22"/>
          <w:szCs w:val="22"/>
          <w:lang w:val="en-NZ"/>
        </w:rPr>
      </w:pPr>
      <w:hyperlink r:id="rId8" w:tooltip="Stats NZ - One in 10 Workers Feel Discriminated Against, Harassed or Bullied at Work" w:history="1">
        <w:r>
          <w:rPr>
            <w:rStyle w:val="Hyperlink"/>
            <w:rFonts w:ascii="Times New Roman" w:hAnsi="Times New Roman" w:cs="Times New Roman"/>
            <w:sz w:val="22"/>
            <w:szCs w:val="22"/>
            <w:lang w:val="en-NZ"/>
          </w:rPr>
          <w:t>Stats NZ - One in 10 Workers Feel Discriminated Against, Harassed or Bulled at Work</w:t>
        </w:r>
      </w:hyperlink>
      <w:r w:rsidRPr="008F626A">
        <w:rPr>
          <w:rFonts w:ascii="Times New Roman" w:hAnsi="Times New Roman" w:cs="Times New Roman"/>
          <w:sz w:val="22"/>
          <w:szCs w:val="22"/>
          <w:lang w:val="en-NZ"/>
        </w:rPr>
        <w:t xml:space="preserve"> </w:t>
      </w:r>
    </w:p>
    <w:tbl>
      <w:tblPr>
        <w:tblpPr w:leftFromText="180" w:rightFromText="180" w:vertAnchor="text" w:horzAnchor="margin" w:tblpY="249"/>
        <w:tblOverlap w:val="never"/>
        <w:tblW w:w="9444" w:type="dxa"/>
        <w:tblCellMar>
          <w:left w:w="0" w:type="dxa"/>
          <w:right w:w="0" w:type="dxa"/>
        </w:tblCellMar>
        <w:tblLook w:val="04A0" w:firstRow="1" w:lastRow="0" w:firstColumn="1" w:lastColumn="0" w:noHBand="0" w:noVBand="1"/>
      </w:tblPr>
      <w:tblGrid>
        <w:gridCol w:w="2890"/>
        <w:gridCol w:w="695"/>
        <w:gridCol w:w="1440"/>
        <w:gridCol w:w="1496"/>
        <w:gridCol w:w="452"/>
        <w:gridCol w:w="1208"/>
        <w:gridCol w:w="1263"/>
      </w:tblGrid>
      <w:tr w:rsidR="00C7142D" w:rsidRPr="00C7142D" w14:paraId="652BC381" w14:textId="77777777" w:rsidTr="00623AE1">
        <w:trPr>
          <w:trHeight w:val="274"/>
        </w:trPr>
        <w:tc>
          <w:tcPr>
            <w:tcW w:w="289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5377FACF"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b/>
                <w:bCs/>
                <w:color w:val="000000"/>
                <w:sz w:val="15"/>
                <w:szCs w:val="15"/>
                <w:lang w:val="en-NZ" w:eastAsia="en-GB"/>
              </w:rPr>
              <w:t>Occupation</w:t>
            </w:r>
          </w:p>
        </w:tc>
        <w:tc>
          <w:tcPr>
            <w:tcW w:w="69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CDDBB3B"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b/>
                <w:bCs/>
                <w:color w:val="000000"/>
                <w:sz w:val="15"/>
                <w:szCs w:val="15"/>
                <w:lang w:val="en-NZ" w:eastAsia="en-GB"/>
              </w:rPr>
              <w:t>Women</w:t>
            </w:r>
          </w:p>
        </w:tc>
        <w:tc>
          <w:tcPr>
            <w:tcW w:w="144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2164A3B9"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b/>
                <w:bCs/>
                <w:color w:val="000000"/>
                <w:sz w:val="15"/>
                <w:szCs w:val="15"/>
                <w:lang w:val="en-NZ" w:eastAsia="en-GB"/>
              </w:rPr>
              <w:t>Women error (' low ')</w:t>
            </w:r>
          </w:p>
        </w:tc>
        <w:tc>
          <w:tcPr>
            <w:tcW w:w="1496"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2CE9A927"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b/>
                <w:bCs/>
                <w:color w:val="000000"/>
                <w:sz w:val="15"/>
                <w:szCs w:val="15"/>
                <w:lang w:val="en-NZ" w:eastAsia="en-GB"/>
              </w:rPr>
              <w:t>Women error (' high ')</w:t>
            </w:r>
          </w:p>
        </w:tc>
        <w:tc>
          <w:tcPr>
            <w:tcW w:w="452"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1B0B18CF"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b/>
                <w:bCs/>
                <w:color w:val="000000"/>
                <w:sz w:val="15"/>
                <w:szCs w:val="15"/>
                <w:lang w:val="en-NZ" w:eastAsia="en-GB"/>
              </w:rPr>
              <w:t>Men</w:t>
            </w:r>
          </w:p>
        </w:tc>
        <w:tc>
          <w:tcPr>
            <w:tcW w:w="1208"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13C3764C"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b/>
                <w:bCs/>
                <w:color w:val="000000"/>
                <w:sz w:val="15"/>
                <w:szCs w:val="15"/>
                <w:lang w:val="en-NZ" w:eastAsia="en-GB"/>
              </w:rPr>
              <w:t>Men error (' low ')</w:t>
            </w:r>
          </w:p>
        </w:tc>
        <w:tc>
          <w:tcPr>
            <w:tcW w:w="1263"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4C9E04D2"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b/>
                <w:bCs/>
                <w:color w:val="000000"/>
                <w:sz w:val="15"/>
                <w:szCs w:val="15"/>
                <w:lang w:val="en-NZ" w:eastAsia="en-GB"/>
              </w:rPr>
              <w:t>Men error (' high ')</w:t>
            </w:r>
          </w:p>
        </w:tc>
      </w:tr>
      <w:tr w:rsidR="00C7142D" w:rsidRPr="00C7142D" w14:paraId="1024A3C7" w14:textId="77777777" w:rsidTr="00623AE1">
        <w:trPr>
          <w:trHeight w:val="298"/>
        </w:trPr>
        <w:tc>
          <w:tcPr>
            <w:tcW w:w="28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AF8162F"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b/>
                <w:bCs/>
                <w:color w:val="000000"/>
                <w:sz w:val="15"/>
                <w:szCs w:val="15"/>
                <w:lang w:val="en-NZ" w:eastAsia="en-GB"/>
              </w:rPr>
              <w:t>Managers</w:t>
            </w:r>
          </w:p>
        </w:tc>
        <w:tc>
          <w:tcPr>
            <w:tcW w:w="6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77FF9C"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11.6</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95EB25"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9.1</w:t>
            </w:r>
          </w:p>
        </w:tc>
        <w:tc>
          <w:tcPr>
            <w:tcW w:w="14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6AE4CC"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14.1</w:t>
            </w:r>
          </w:p>
        </w:tc>
        <w:tc>
          <w:tcPr>
            <w:tcW w:w="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D857B3"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8</w:t>
            </w:r>
          </w:p>
        </w:tc>
        <w:tc>
          <w:tcPr>
            <w:tcW w:w="12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A955F3"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6.4</w:t>
            </w:r>
          </w:p>
        </w:tc>
        <w:tc>
          <w:tcPr>
            <w:tcW w:w="12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534902"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9.5</w:t>
            </w:r>
          </w:p>
        </w:tc>
      </w:tr>
      <w:tr w:rsidR="00C7142D" w:rsidRPr="00C7142D" w14:paraId="5488A7A4" w14:textId="77777777" w:rsidTr="00623AE1">
        <w:trPr>
          <w:trHeight w:val="274"/>
        </w:trPr>
        <w:tc>
          <w:tcPr>
            <w:tcW w:w="28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8ABB8CC"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b/>
                <w:bCs/>
                <w:color w:val="000000"/>
                <w:sz w:val="15"/>
                <w:szCs w:val="15"/>
                <w:lang w:val="en-NZ" w:eastAsia="en-GB"/>
              </w:rPr>
              <w:t>Professionals</w:t>
            </w:r>
          </w:p>
        </w:tc>
        <w:tc>
          <w:tcPr>
            <w:tcW w:w="6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DD4A18"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16.9</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704859"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14.7</w:t>
            </w:r>
          </w:p>
        </w:tc>
        <w:tc>
          <w:tcPr>
            <w:tcW w:w="14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9438B4"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19</w:t>
            </w:r>
          </w:p>
        </w:tc>
        <w:tc>
          <w:tcPr>
            <w:tcW w:w="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5017F9"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8.1</w:t>
            </w:r>
          </w:p>
        </w:tc>
        <w:tc>
          <w:tcPr>
            <w:tcW w:w="12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B48958"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6.4</w:t>
            </w:r>
          </w:p>
        </w:tc>
        <w:tc>
          <w:tcPr>
            <w:tcW w:w="12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05BF4D"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9.8</w:t>
            </w:r>
          </w:p>
        </w:tc>
      </w:tr>
      <w:tr w:rsidR="00C7142D" w:rsidRPr="00C7142D" w14:paraId="4690B8F9" w14:textId="77777777" w:rsidTr="00623AE1">
        <w:trPr>
          <w:trHeight w:val="274"/>
        </w:trPr>
        <w:tc>
          <w:tcPr>
            <w:tcW w:w="28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994210A"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b/>
                <w:bCs/>
                <w:color w:val="000000"/>
                <w:sz w:val="15"/>
                <w:szCs w:val="15"/>
                <w:lang w:val="en-NZ" w:eastAsia="en-GB"/>
              </w:rPr>
              <w:t>Technicians and trades workers</w:t>
            </w:r>
          </w:p>
        </w:tc>
        <w:tc>
          <w:tcPr>
            <w:tcW w:w="6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C42F22"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15</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511587"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9.4</w:t>
            </w:r>
          </w:p>
        </w:tc>
        <w:tc>
          <w:tcPr>
            <w:tcW w:w="14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B39E48"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20.5</w:t>
            </w:r>
          </w:p>
        </w:tc>
        <w:tc>
          <w:tcPr>
            <w:tcW w:w="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CBF983"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7.1</w:t>
            </w:r>
          </w:p>
        </w:tc>
        <w:tc>
          <w:tcPr>
            <w:tcW w:w="12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2FE9C4"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5</w:t>
            </w:r>
          </w:p>
        </w:tc>
        <w:tc>
          <w:tcPr>
            <w:tcW w:w="12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27A926"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9.3</w:t>
            </w:r>
          </w:p>
        </w:tc>
      </w:tr>
      <w:tr w:rsidR="00C7142D" w:rsidRPr="00C7142D" w14:paraId="147369CB" w14:textId="77777777" w:rsidTr="00623AE1">
        <w:trPr>
          <w:trHeight w:val="274"/>
        </w:trPr>
        <w:tc>
          <w:tcPr>
            <w:tcW w:w="28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914FBB5"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b/>
                <w:bCs/>
                <w:color w:val="000000"/>
                <w:sz w:val="15"/>
                <w:szCs w:val="15"/>
                <w:lang w:val="en-NZ" w:eastAsia="en-GB"/>
              </w:rPr>
              <w:t>Community and personal service workers</w:t>
            </w:r>
          </w:p>
        </w:tc>
        <w:tc>
          <w:tcPr>
            <w:tcW w:w="6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0911A9"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16.2</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F78876"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13.2</w:t>
            </w:r>
          </w:p>
        </w:tc>
        <w:tc>
          <w:tcPr>
            <w:tcW w:w="14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3B11AC"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19.2</w:t>
            </w:r>
          </w:p>
        </w:tc>
        <w:tc>
          <w:tcPr>
            <w:tcW w:w="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21E898"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17.8</w:t>
            </w:r>
          </w:p>
        </w:tc>
        <w:tc>
          <w:tcPr>
            <w:tcW w:w="12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E50BD4"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12.5</w:t>
            </w:r>
          </w:p>
        </w:tc>
        <w:tc>
          <w:tcPr>
            <w:tcW w:w="12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037A31"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23.1</w:t>
            </w:r>
          </w:p>
        </w:tc>
      </w:tr>
      <w:tr w:rsidR="00C7142D" w:rsidRPr="00C7142D" w14:paraId="133615B0" w14:textId="77777777" w:rsidTr="00623AE1">
        <w:trPr>
          <w:trHeight w:val="274"/>
        </w:trPr>
        <w:tc>
          <w:tcPr>
            <w:tcW w:w="28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AAE48DE"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b/>
                <w:bCs/>
                <w:color w:val="000000"/>
                <w:sz w:val="15"/>
                <w:szCs w:val="15"/>
                <w:lang w:val="en-NZ" w:eastAsia="en-GB"/>
              </w:rPr>
              <w:t>Clerical and administrative workers</w:t>
            </w:r>
          </w:p>
        </w:tc>
        <w:tc>
          <w:tcPr>
            <w:tcW w:w="6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2E485B"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12.5</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9AD7D9"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10.1</w:t>
            </w:r>
          </w:p>
        </w:tc>
        <w:tc>
          <w:tcPr>
            <w:tcW w:w="14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57855D"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15</w:t>
            </w:r>
          </w:p>
        </w:tc>
        <w:tc>
          <w:tcPr>
            <w:tcW w:w="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A3F8FC"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4.5</w:t>
            </w:r>
          </w:p>
        </w:tc>
        <w:tc>
          <w:tcPr>
            <w:tcW w:w="12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9397DE"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2.2</w:t>
            </w:r>
          </w:p>
        </w:tc>
        <w:tc>
          <w:tcPr>
            <w:tcW w:w="12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35DB98"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6.9</w:t>
            </w:r>
          </w:p>
        </w:tc>
      </w:tr>
      <w:tr w:rsidR="00C7142D" w:rsidRPr="00C7142D" w14:paraId="1EB380CE" w14:textId="77777777" w:rsidTr="00623AE1">
        <w:trPr>
          <w:trHeight w:val="274"/>
        </w:trPr>
        <w:tc>
          <w:tcPr>
            <w:tcW w:w="28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CEAAEA5"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b/>
                <w:bCs/>
                <w:color w:val="000000"/>
                <w:sz w:val="15"/>
                <w:szCs w:val="15"/>
                <w:lang w:val="en-NZ" w:eastAsia="en-GB"/>
              </w:rPr>
              <w:t>Sales workers</w:t>
            </w:r>
          </w:p>
        </w:tc>
        <w:tc>
          <w:tcPr>
            <w:tcW w:w="6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3AC223"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15.2</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369C85"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11.3</w:t>
            </w:r>
          </w:p>
        </w:tc>
        <w:tc>
          <w:tcPr>
            <w:tcW w:w="14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1F720E"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19.2</w:t>
            </w:r>
          </w:p>
        </w:tc>
        <w:tc>
          <w:tcPr>
            <w:tcW w:w="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6777D3"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10.2</w:t>
            </w:r>
          </w:p>
        </w:tc>
        <w:tc>
          <w:tcPr>
            <w:tcW w:w="12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6CB37E"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6.2</w:t>
            </w:r>
          </w:p>
        </w:tc>
        <w:tc>
          <w:tcPr>
            <w:tcW w:w="12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2EBA72"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14.2</w:t>
            </w:r>
          </w:p>
        </w:tc>
      </w:tr>
      <w:tr w:rsidR="00C7142D" w:rsidRPr="00C7142D" w14:paraId="6E698384" w14:textId="77777777" w:rsidTr="00623AE1">
        <w:trPr>
          <w:trHeight w:val="274"/>
        </w:trPr>
        <w:tc>
          <w:tcPr>
            <w:tcW w:w="28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7612D0F"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b/>
                <w:bCs/>
                <w:color w:val="000000"/>
                <w:sz w:val="15"/>
                <w:szCs w:val="15"/>
                <w:lang w:val="en-NZ" w:eastAsia="en-GB"/>
              </w:rPr>
              <w:t>Machinery operators and drivers</w:t>
            </w:r>
          </w:p>
        </w:tc>
        <w:tc>
          <w:tcPr>
            <w:tcW w:w="6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0A8A91"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19.5</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72A8A8"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11.1</w:t>
            </w:r>
          </w:p>
        </w:tc>
        <w:tc>
          <w:tcPr>
            <w:tcW w:w="14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BCEF8D"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28</w:t>
            </w:r>
          </w:p>
        </w:tc>
        <w:tc>
          <w:tcPr>
            <w:tcW w:w="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3EC8BE"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7.9</w:t>
            </w:r>
          </w:p>
        </w:tc>
        <w:tc>
          <w:tcPr>
            <w:tcW w:w="12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A7F6AB"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5.2</w:t>
            </w:r>
          </w:p>
        </w:tc>
        <w:tc>
          <w:tcPr>
            <w:tcW w:w="12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AEC934"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10.7</w:t>
            </w:r>
          </w:p>
        </w:tc>
      </w:tr>
      <w:tr w:rsidR="00C7142D" w:rsidRPr="00C7142D" w14:paraId="23A57E24" w14:textId="77777777" w:rsidTr="00623AE1">
        <w:trPr>
          <w:trHeight w:val="274"/>
        </w:trPr>
        <w:tc>
          <w:tcPr>
            <w:tcW w:w="289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0E73E8F"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b/>
                <w:bCs/>
                <w:color w:val="000000"/>
                <w:sz w:val="15"/>
                <w:szCs w:val="15"/>
                <w:lang w:val="en-NZ" w:eastAsia="en-GB"/>
              </w:rPr>
              <w:t>Labourers</w:t>
            </w:r>
          </w:p>
        </w:tc>
        <w:tc>
          <w:tcPr>
            <w:tcW w:w="6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57EB76"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11.8</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F0DCD8"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7.5</w:t>
            </w:r>
          </w:p>
        </w:tc>
        <w:tc>
          <w:tcPr>
            <w:tcW w:w="14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550F2E"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16.2</w:t>
            </w:r>
          </w:p>
        </w:tc>
        <w:tc>
          <w:tcPr>
            <w:tcW w:w="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3420D7"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10.7</w:t>
            </w:r>
          </w:p>
        </w:tc>
        <w:tc>
          <w:tcPr>
            <w:tcW w:w="12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DCBCBC"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7.3</w:t>
            </w:r>
          </w:p>
        </w:tc>
        <w:tc>
          <w:tcPr>
            <w:tcW w:w="12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414FF6" w14:textId="77777777" w:rsidR="00C7142D" w:rsidRPr="00C7142D" w:rsidRDefault="00C7142D" w:rsidP="00BF4463">
            <w:pPr>
              <w:spacing w:line="360" w:lineRule="auto"/>
              <w:rPr>
                <w:rFonts w:ascii="Times New Roman" w:eastAsia="Times New Roman" w:hAnsi="Times New Roman" w:cs="Times New Roman"/>
                <w:lang w:val="en-NZ" w:eastAsia="en-GB"/>
              </w:rPr>
            </w:pPr>
            <w:r w:rsidRPr="00C7142D">
              <w:rPr>
                <w:rFonts w:ascii="Helvetica Neue" w:eastAsia="Times New Roman" w:hAnsi="Helvetica Neue" w:cs="Times New Roman"/>
                <w:color w:val="000000"/>
                <w:sz w:val="15"/>
                <w:szCs w:val="15"/>
                <w:lang w:val="en-NZ" w:eastAsia="en-GB"/>
              </w:rPr>
              <w:t>14.2</w:t>
            </w:r>
          </w:p>
        </w:tc>
      </w:tr>
    </w:tbl>
    <w:p w14:paraId="363D9A78" w14:textId="77777777" w:rsidR="008F6BE9" w:rsidRPr="008F6BE9" w:rsidRDefault="008F6BE9" w:rsidP="00BF4463">
      <w:pPr>
        <w:spacing w:line="360" w:lineRule="auto"/>
        <w:ind w:right="521"/>
        <w:jc w:val="both"/>
        <w:rPr>
          <w:rFonts w:ascii="Times New Roman" w:hAnsi="Times New Roman" w:cs="Times New Roman"/>
          <w:sz w:val="22"/>
          <w:szCs w:val="22"/>
          <w:lang w:val="en-NZ"/>
        </w:rPr>
      </w:pPr>
    </w:p>
    <w:p w14:paraId="277DF977" w14:textId="5510C734" w:rsidR="008F626A" w:rsidRDefault="008F6BE9" w:rsidP="00BF4463">
      <w:pPr>
        <w:spacing w:line="360" w:lineRule="auto"/>
        <w:ind w:right="-46"/>
        <w:jc w:val="both"/>
        <w:rPr>
          <w:rFonts w:ascii="Times New Roman" w:hAnsi="Times New Roman" w:cs="Times New Roman"/>
          <w:lang w:val="en-NZ"/>
        </w:rPr>
      </w:pPr>
      <w:r w:rsidRPr="008F6BE9">
        <w:rPr>
          <w:rFonts w:ascii="Times New Roman" w:hAnsi="Times New Roman" w:cs="Times New Roman"/>
          <w:lang w:val="en-NZ"/>
        </w:rPr>
        <w:t xml:space="preserve">In these occupations, women experienced </w:t>
      </w:r>
      <w:r>
        <w:rPr>
          <w:rFonts w:ascii="Times New Roman" w:hAnsi="Times New Roman" w:cs="Times New Roman"/>
          <w:lang w:val="en-NZ"/>
        </w:rPr>
        <w:t xml:space="preserve">workplace </w:t>
      </w:r>
      <w:r w:rsidRPr="008F6BE9">
        <w:rPr>
          <w:rFonts w:ascii="Times New Roman" w:hAnsi="Times New Roman" w:cs="Times New Roman"/>
          <w:lang w:val="en-NZ"/>
        </w:rPr>
        <w:t xml:space="preserve">discrimination, </w:t>
      </w:r>
      <w:r>
        <w:rPr>
          <w:rFonts w:ascii="Times New Roman" w:hAnsi="Times New Roman" w:cs="Times New Roman"/>
          <w:lang w:val="en-NZ"/>
        </w:rPr>
        <w:t>harassment or bullying at rates two to three times higher than their male counterparts.</w:t>
      </w:r>
      <w:r w:rsidR="00DE1580">
        <w:rPr>
          <w:rFonts w:ascii="Times New Roman" w:hAnsi="Times New Roman" w:cs="Times New Roman"/>
          <w:lang w:val="en-NZ"/>
        </w:rPr>
        <w:t xml:space="preserve"> As the accompanying recommendation instrument to Convention 190, Recommendation 206 also recognises that </w:t>
      </w:r>
      <w:r w:rsidR="00DE1580">
        <w:rPr>
          <w:rFonts w:ascii="Times New Roman" w:hAnsi="Times New Roman" w:cs="Times New Roman"/>
          <w:lang w:val="en-NZ"/>
        </w:rPr>
        <w:lastRenderedPageBreak/>
        <w:t>particular sectors and work arrangements may expose workers to a higher risk of violence and harassment. These include the health, hospitality and education industries, a</w:t>
      </w:r>
      <w:r w:rsidR="008B5DD9">
        <w:rPr>
          <w:rFonts w:ascii="Times New Roman" w:hAnsi="Times New Roman" w:cs="Times New Roman"/>
          <w:lang w:val="en-NZ"/>
        </w:rPr>
        <w:t>longside</w:t>
      </w:r>
      <w:r w:rsidR="00796002">
        <w:rPr>
          <w:rFonts w:ascii="Times New Roman" w:hAnsi="Times New Roman" w:cs="Times New Roman"/>
          <w:lang w:val="en-NZ"/>
        </w:rPr>
        <w:t xml:space="preserve"> occupational arrangements for</w:t>
      </w:r>
      <w:r w:rsidR="00DE1580">
        <w:rPr>
          <w:rFonts w:ascii="Times New Roman" w:hAnsi="Times New Roman" w:cs="Times New Roman"/>
          <w:lang w:val="en-NZ"/>
        </w:rPr>
        <w:t xml:space="preserve"> domestic or night work.</w:t>
      </w:r>
      <w:r w:rsidR="00DE1580">
        <w:rPr>
          <w:rStyle w:val="FootnoteReference"/>
          <w:rFonts w:ascii="Times New Roman" w:hAnsi="Times New Roman" w:cs="Times New Roman"/>
          <w:lang w:val="en-NZ"/>
        </w:rPr>
        <w:footnoteReference w:id="32"/>
      </w:r>
      <w:r w:rsidR="00C379BF">
        <w:rPr>
          <w:rFonts w:ascii="Times New Roman" w:hAnsi="Times New Roman" w:cs="Times New Roman"/>
          <w:lang w:val="en-NZ"/>
        </w:rPr>
        <w:t xml:space="preserve"> As such, </w:t>
      </w:r>
      <w:r w:rsidR="008B5DD9">
        <w:rPr>
          <w:rFonts w:ascii="Times New Roman" w:hAnsi="Times New Roman" w:cs="Times New Roman"/>
          <w:lang w:val="en-NZ"/>
        </w:rPr>
        <w:t xml:space="preserve">these environments may be placed at the forefront of inspections in to the world </w:t>
      </w:r>
      <w:r w:rsidR="0046049D">
        <w:rPr>
          <w:rFonts w:ascii="Times New Roman" w:hAnsi="Times New Roman" w:cs="Times New Roman"/>
          <w:lang w:val="en-NZ"/>
        </w:rPr>
        <w:t xml:space="preserve">of </w:t>
      </w:r>
      <w:r w:rsidR="008B5DD9">
        <w:rPr>
          <w:rFonts w:ascii="Times New Roman" w:hAnsi="Times New Roman" w:cs="Times New Roman"/>
          <w:lang w:val="en-NZ"/>
        </w:rPr>
        <w:t xml:space="preserve">work, to determine </w:t>
      </w:r>
      <w:r w:rsidR="0046049D">
        <w:rPr>
          <w:rFonts w:ascii="Times New Roman" w:hAnsi="Times New Roman" w:cs="Times New Roman"/>
          <w:lang w:val="en-NZ"/>
        </w:rPr>
        <w:t>workplace factors that more highly influence discrimin</w:t>
      </w:r>
      <w:r w:rsidR="004E2E20">
        <w:rPr>
          <w:rFonts w:ascii="Times New Roman" w:hAnsi="Times New Roman" w:cs="Times New Roman"/>
          <w:lang w:val="en-NZ"/>
        </w:rPr>
        <w:t xml:space="preserve">ative behaviour. </w:t>
      </w:r>
    </w:p>
    <w:p w14:paraId="7FB6ECA7" w14:textId="27A1CFE9" w:rsidR="000D2226" w:rsidRDefault="000D2226" w:rsidP="00BF4463">
      <w:pPr>
        <w:spacing w:line="360" w:lineRule="auto"/>
        <w:ind w:right="521"/>
        <w:jc w:val="both"/>
        <w:rPr>
          <w:rFonts w:ascii="Times New Roman" w:hAnsi="Times New Roman" w:cs="Times New Roman"/>
          <w:lang w:val="en-NZ"/>
        </w:rPr>
      </w:pPr>
    </w:p>
    <w:p w14:paraId="05B1E042" w14:textId="508E3CBD" w:rsidR="000D2226" w:rsidRPr="00573F35" w:rsidRDefault="000D2226" w:rsidP="00BF4463">
      <w:pPr>
        <w:pStyle w:val="Heading2"/>
        <w:spacing w:line="360" w:lineRule="auto"/>
        <w:rPr>
          <w:rFonts w:ascii="Times New Roman" w:hAnsi="Times New Roman" w:cs="Times New Roman"/>
          <w:sz w:val="24"/>
          <w:szCs w:val="24"/>
          <w:lang w:val="en-NZ"/>
        </w:rPr>
      </w:pPr>
      <w:bookmarkStart w:id="18" w:name="_Toc87264444"/>
      <w:bookmarkStart w:id="19" w:name="_Toc92724690"/>
      <w:bookmarkStart w:id="20" w:name="_Toc92724715"/>
      <w:r w:rsidRPr="00573F35">
        <w:rPr>
          <w:rFonts w:ascii="Times New Roman" w:hAnsi="Times New Roman" w:cs="Times New Roman"/>
          <w:sz w:val="24"/>
          <w:szCs w:val="24"/>
          <w:lang w:val="en-NZ"/>
        </w:rPr>
        <w:t xml:space="preserve">Benefits of </w:t>
      </w:r>
      <w:r w:rsidR="00D275D3">
        <w:rPr>
          <w:rFonts w:ascii="Times New Roman" w:hAnsi="Times New Roman" w:cs="Times New Roman"/>
          <w:sz w:val="24"/>
          <w:szCs w:val="24"/>
          <w:lang w:val="en-NZ"/>
        </w:rPr>
        <w:t>R</w:t>
      </w:r>
      <w:r w:rsidRPr="00573F35">
        <w:rPr>
          <w:rFonts w:ascii="Times New Roman" w:hAnsi="Times New Roman" w:cs="Times New Roman"/>
          <w:sz w:val="24"/>
          <w:szCs w:val="24"/>
          <w:lang w:val="en-NZ"/>
        </w:rPr>
        <w:t>atifying</w:t>
      </w:r>
      <w:bookmarkEnd w:id="18"/>
      <w:bookmarkEnd w:id="19"/>
      <w:bookmarkEnd w:id="20"/>
    </w:p>
    <w:p w14:paraId="7A8107AF" w14:textId="7BCF8F84" w:rsidR="008F626A" w:rsidRDefault="008F626A" w:rsidP="00BF4463">
      <w:pPr>
        <w:spacing w:line="360" w:lineRule="auto"/>
        <w:ind w:right="521"/>
        <w:jc w:val="both"/>
        <w:rPr>
          <w:rFonts w:ascii="Times New Roman" w:hAnsi="Times New Roman" w:cs="Times New Roman"/>
          <w:lang w:val="en-NZ"/>
        </w:rPr>
      </w:pPr>
    </w:p>
    <w:p w14:paraId="35737C8E" w14:textId="1831A5D4" w:rsidR="00E907EA" w:rsidRDefault="008A389B" w:rsidP="00BF4463">
      <w:pPr>
        <w:spacing w:line="360" w:lineRule="auto"/>
        <w:ind w:right="-46"/>
        <w:jc w:val="both"/>
        <w:rPr>
          <w:rFonts w:ascii="Times New Roman" w:hAnsi="Times New Roman" w:cs="Times New Roman"/>
          <w:lang w:val="en-NZ"/>
        </w:rPr>
      </w:pPr>
      <w:r>
        <w:rPr>
          <w:rFonts w:ascii="Times New Roman" w:hAnsi="Times New Roman" w:cs="Times New Roman"/>
          <w:lang w:val="en-NZ"/>
        </w:rPr>
        <w:t>There is a clear</w:t>
      </w:r>
      <w:r w:rsidR="00366275">
        <w:rPr>
          <w:rFonts w:ascii="Times New Roman" w:hAnsi="Times New Roman" w:cs="Times New Roman"/>
          <w:lang w:val="en-NZ"/>
        </w:rPr>
        <w:t xml:space="preserve"> objective</w:t>
      </w:r>
      <w:r>
        <w:rPr>
          <w:rFonts w:ascii="Times New Roman" w:hAnsi="Times New Roman" w:cs="Times New Roman"/>
          <w:lang w:val="en-NZ"/>
        </w:rPr>
        <w:t xml:space="preserve"> of </w:t>
      </w:r>
      <w:r w:rsidR="00366275">
        <w:rPr>
          <w:rFonts w:ascii="Times New Roman" w:hAnsi="Times New Roman" w:cs="Times New Roman"/>
          <w:lang w:val="en-NZ"/>
        </w:rPr>
        <w:t xml:space="preserve">improving </w:t>
      </w:r>
      <w:r>
        <w:rPr>
          <w:rFonts w:ascii="Times New Roman" w:hAnsi="Times New Roman" w:cs="Times New Roman"/>
          <w:lang w:val="en-NZ"/>
        </w:rPr>
        <w:t xml:space="preserve">labour </w:t>
      </w:r>
      <w:r w:rsidR="00366275">
        <w:rPr>
          <w:rFonts w:ascii="Times New Roman" w:hAnsi="Times New Roman" w:cs="Times New Roman"/>
          <w:lang w:val="en-NZ"/>
        </w:rPr>
        <w:t xml:space="preserve">welfare </w:t>
      </w:r>
      <w:r>
        <w:rPr>
          <w:rFonts w:ascii="Times New Roman" w:hAnsi="Times New Roman" w:cs="Times New Roman"/>
          <w:lang w:val="en-NZ"/>
        </w:rPr>
        <w:t xml:space="preserve">embodied in Convention 190. Many of the obligations outlined </w:t>
      </w:r>
      <w:r w:rsidR="008B2CF3">
        <w:rPr>
          <w:rFonts w:ascii="Times New Roman" w:hAnsi="Times New Roman" w:cs="Times New Roman"/>
          <w:lang w:val="en-NZ"/>
        </w:rPr>
        <w:t xml:space="preserve">by </w:t>
      </w:r>
      <w:r>
        <w:rPr>
          <w:rFonts w:ascii="Times New Roman" w:hAnsi="Times New Roman" w:cs="Times New Roman"/>
          <w:lang w:val="en-NZ"/>
        </w:rPr>
        <w:t xml:space="preserve">the Convention provide a means of benefiting national employment through </w:t>
      </w:r>
      <w:r w:rsidR="001D440E">
        <w:rPr>
          <w:rFonts w:ascii="Times New Roman" w:hAnsi="Times New Roman" w:cs="Times New Roman"/>
          <w:lang w:val="en-NZ"/>
        </w:rPr>
        <w:t xml:space="preserve">the development of more inclusive and protective workplaces. </w:t>
      </w:r>
      <w:r w:rsidR="008B2CF3">
        <w:rPr>
          <w:rFonts w:ascii="Times New Roman" w:hAnsi="Times New Roman" w:cs="Times New Roman"/>
          <w:lang w:val="en-NZ"/>
        </w:rPr>
        <w:t>In the multilateral forum, the Convention outlines various international principles that align with fundamental human and labour rights and progresses the observance of a global sustainable development agenda. Sustainable Development Goal (SDG) 8 calls for the promotion of “sustained, inclusive and sustainable economic growth, full and productive employment and decent work for all.”</w:t>
      </w:r>
      <w:r w:rsidR="00114A74">
        <w:rPr>
          <w:rStyle w:val="FootnoteReference"/>
          <w:rFonts w:ascii="Times New Roman" w:hAnsi="Times New Roman" w:cs="Times New Roman"/>
          <w:lang w:val="en-NZ"/>
        </w:rPr>
        <w:footnoteReference w:id="33"/>
      </w:r>
      <w:r w:rsidR="008B2CF3">
        <w:rPr>
          <w:rFonts w:ascii="Times New Roman" w:hAnsi="Times New Roman" w:cs="Times New Roman"/>
          <w:lang w:val="en-NZ"/>
        </w:rPr>
        <w:t xml:space="preserve"> </w:t>
      </w:r>
      <w:r w:rsidR="003641A0">
        <w:rPr>
          <w:rFonts w:ascii="Times New Roman" w:hAnsi="Times New Roman" w:cs="Times New Roman"/>
          <w:lang w:val="en-NZ"/>
        </w:rPr>
        <w:t xml:space="preserve">The economic productivity of the state is largely determined by labour performance, therefore the Convention facilitates both a social and economic advancement of the current domestic market to create a </w:t>
      </w:r>
      <w:r w:rsidR="00004049">
        <w:rPr>
          <w:rFonts w:ascii="Times New Roman" w:hAnsi="Times New Roman" w:cs="Times New Roman"/>
          <w:lang w:val="en-NZ"/>
        </w:rPr>
        <w:t xml:space="preserve">safer and more equitable </w:t>
      </w:r>
      <w:r w:rsidR="003641A0">
        <w:rPr>
          <w:rFonts w:ascii="Times New Roman" w:hAnsi="Times New Roman" w:cs="Times New Roman"/>
          <w:lang w:val="en-NZ"/>
        </w:rPr>
        <w:t>world of wor</w:t>
      </w:r>
      <w:r w:rsidR="00004049">
        <w:rPr>
          <w:rFonts w:ascii="Times New Roman" w:hAnsi="Times New Roman" w:cs="Times New Roman"/>
          <w:lang w:val="en-NZ"/>
        </w:rPr>
        <w:t>k.</w:t>
      </w:r>
      <w:r w:rsidR="005826C8">
        <w:rPr>
          <w:rFonts w:ascii="Times New Roman" w:hAnsi="Times New Roman" w:cs="Times New Roman"/>
          <w:lang w:val="en-NZ"/>
        </w:rPr>
        <w:t xml:space="preserve"> This may be further monitored by the checks and balances framework th</w:t>
      </w:r>
      <w:r w:rsidR="008E5D0E">
        <w:rPr>
          <w:rFonts w:ascii="Times New Roman" w:hAnsi="Times New Roman" w:cs="Times New Roman"/>
          <w:lang w:val="en-NZ"/>
        </w:rPr>
        <w:t xml:space="preserve">at </w:t>
      </w:r>
      <w:r w:rsidR="005826C8">
        <w:rPr>
          <w:rFonts w:ascii="Times New Roman" w:hAnsi="Times New Roman" w:cs="Times New Roman"/>
          <w:lang w:val="en-NZ"/>
        </w:rPr>
        <w:t>Convention</w:t>
      </w:r>
      <w:r w:rsidR="008E5D0E">
        <w:rPr>
          <w:rFonts w:ascii="Times New Roman" w:hAnsi="Times New Roman" w:cs="Times New Roman"/>
          <w:lang w:val="en-NZ"/>
        </w:rPr>
        <w:t xml:space="preserve"> 190</w:t>
      </w:r>
      <w:r w:rsidR="005826C8">
        <w:rPr>
          <w:rFonts w:ascii="Times New Roman" w:hAnsi="Times New Roman" w:cs="Times New Roman"/>
          <w:lang w:val="en-NZ"/>
        </w:rPr>
        <w:t xml:space="preserve"> provides. Obligations transcend government action to call for an increased awareness of social issues in work operations by employers, as well as the engagement of workers in learning their rights and promoting the objectives of the Convention. Namely, </w:t>
      </w:r>
      <w:r w:rsidR="007B4963">
        <w:rPr>
          <w:rFonts w:ascii="Times New Roman" w:hAnsi="Times New Roman" w:cs="Times New Roman"/>
          <w:lang w:val="en-NZ"/>
        </w:rPr>
        <w:t xml:space="preserve">an aim to put an end to violence and harassment in the world of work. Thus, every level of authority is recognised as playing a crucial role </w:t>
      </w:r>
      <w:r w:rsidR="00580119">
        <w:rPr>
          <w:rFonts w:ascii="Times New Roman" w:hAnsi="Times New Roman" w:cs="Times New Roman"/>
          <w:lang w:val="en-NZ"/>
        </w:rPr>
        <w:t>in</w:t>
      </w:r>
      <w:r w:rsidR="007B4963">
        <w:rPr>
          <w:rFonts w:ascii="Times New Roman" w:hAnsi="Times New Roman" w:cs="Times New Roman"/>
          <w:lang w:val="en-NZ"/>
        </w:rPr>
        <w:t xml:space="preserve"> provid</w:t>
      </w:r>
      <w:r w:rsidR="00580119">
        <w:rPr>
          <w:rFonts w:ascii="Times New Roman" w:hAnsi="Times New Roman" w:cs="Times New Roman"/>
          <w:lang w:val="en-NZ"/>
        </w:rPr>
        <w:t>ing</w:t>
      </w:r>
      <w:r w:rsidR="007B4963">
        <w:rPr>
          <w:rFonts w:ascii="Times New Roman" w:hAnsi="Times New Roman" w:cs="Times New Roman"/>
          <w:lang w:val="en-NZ"/>
        </w:rPr>
        <w:t xml:space="preserve"> and sustain</w:t>
      </w:r>
      <w:r w:rsidR="00580119">
        <w:rPr>
          <w:rFonts w:ascii="Times New Roman" w:hAnsi="Times New Roman" w:cs="Times New Roman"/>
          <w:lang w:val="en-NZ"/>
        </w:rPr>
        <w:t>ing</w:t>
      </w:r>
      <w:r w:rsidR="007B4963">
        <w:rPr>
          <w:rFonts w:ascii="Times New Roman" w:hAnsi="Times New Roman" w:cs="Times New Roman"/>
          <w:lang w:val="en-NZ"/>
        </w:rPr>
        <w:t xml:space="preserve"> a work culture based on mutual respect and dignity. </w:t>
      </w:r>
      <w:r w:rsidR="0046093D">
        <w:rPr>
          <w:rFonts w:ascii="Times New Roman" w:hAnsi="Times New Roman" w:cs="Times New Roman"/>
          <w:lang w:val="en-NZ"/>
        </w:rPr>
        <w:t>In New Zealand, upholding a framework that attributes liability for harassment and violence in the world of work is consistent with a democratic constitution</w:t>
      </w:r>
      <w:r w:rsidR="00F863ED">
        <w:rPr>
          <w:rFonts w:ascii="Times New Roman" w:hAnsi="Times New Roman" w:cs="Times New Roman"/>
          <w:lang w:val="en-NZ"/>
        </w:rPr>
        <w:t xml:space="preserve">, </w:t>
      </w:r>
      <w:r w:rsidR="0046093D">
        <w:rPr>
          <w:rFonts w:ascii="Times New Roman" w:hAnsi="Times New Roman" w:cs="Times New Roman"/>
          <w:lang w:val="en-NZ"/>
        </w:rPr>
        <w:t>a</w:t>
      </w:r>
      <w:r w:rsidR="00F863ED">
        <w:rPr>
          <w:rFonts w:ascii="Times New Roman" w:hAnsi="Times New Roman" w:cs="Times New Roman"/>
          <w:lang w:val="en-NZ"/>
        </w:rPr>
        <w:t>longside</w:t>
      </w:r>
      <w:r w:rsidR="0046093D">
        <w:rPr>
          <w:rFonts w:ascii="Times New Roman" w:hAnsi="Times New Roman" w:cs="Times New Roman"/>
          <w:lang w:val="en-NZ"/>
        </w:rPr>
        <w:t xml:space="preserve"> the rule of law as an underlying principle </w:t>
      </w:r>
      <w:r w:rsidR="00F863ED">
        <w:rPr>
          <w:rFonts w:ascii="Times New Roman" w:hAnsi="Times New Roman" w:cs="Times New Roman"/>
          <w:lang w:val="en-NZ"/>
        </w:rPr>
        <w:t xml:space="preserve">of the legal system. </w:t>
      </w:r>
    </w:p>
    <w:p w14:paraId="17511136" w14:textId="77777777" w:rsidR="008E5D0E" w:rsidRDefault="008E5D0E" w:rsidP="00BF4463">
      <w:pPr>
        <w:spacing w:line="360" w:lineRule="auto"/>
        <w:ind w:right="-46"/>
        <w:jc w:val="both"/>
        <w:rPr>
          <w:rFonts w:ascii="Times New Roman" w:hAnsi="Times New Roman" w:cs="Times New Roman"/>
          <w:lang w:val="en-NZ"/>
        </w:rPr>
      </w:pPr>
    </w:p>
    <w:p w14:paraId="64C1B4EF" w14:textId="04953889" w:rsidR="000D2226" w:rsidRDefault="00F863ED" w:rsidP="00BF4463">
      <w:pPr>
        <w:spacing w:line="360" w:lineRule="auto"/>
        <w:ind w:right="-46"/>
        <w:jc w:val="both"/>
        <w:rPr>
          <w:rFonts w:ascii="Times New Roman" w:hAnsi="Times New Roman" w:cs="Times New Roman"/>
          <w:lang w:val="en-NZ"/>
        </w:rPr>
      </w:pPr>
      <w:r>
        <w:rPr>
          <w:rFonts w:ascii="Times New Roman" w:hAnsi="Times New Roman" w:cs="Times New Roman"/>
          <w:lang w:val="en-NZ"/>
        </w:rPr>
        <w:t xml:space="preserve">Convention 190’s assisting Facilitator Guide also outlines the importance of </w:t>
      </w:r>
      <w:r w:rsidR="00366275">
        <w:rPr>
          <w:rFonts w:ascii="Times New Roman" w:hAnsi="Times New Roman" w:cs="Times New Roman"/>
          <w:lang w:val="en-NZ"/>
        </w:rPr>
        <w:t xml:space="preserve">considering </w:t>
      </w:r>
      <w:r>
        <w:rPr>
          <w:rFonts w:ascii="Times New Roman" w:hAnsi="Times New Roman" w:cs="Times New Roman"/>
          <w:lang w:val="en-NZ"/>
        </w:rPr>
        <w:t>factors such as gender, culture and social norms in the mitigation of work</w:t>
      </w:r>
      <w:r w:rsidR="00B31D9B">
        <w:rPr>
          <w:rFonts w:ascii="Times New Roman" w:hAnsi="Times New Roman" w:cs="Times New Roman"/>
          <w:lang w:val="en-NZ"/>
        </w:rPr>
        <w:t>-based discrimination.</w:t>
      </w:r>
      <w:r w:rsidR="00B31D9B">
        <w:rPr>
          <w:rStyle w:val="FootnoteReference"/>
          <w:rFonts w:ascii="Times New Roman" w:hAnsi="Times New Roman" w:cs="Times New Roman"/>
          <w:lang w:val="en-NZ"/>
        </w:rPr>
        <w:footnoteReference w:id="34"/>
      </w:r>
      <w:r w:rsidR="00B31D9B">
        <w:rPr>
          <w:rFonts w:ascii="Times New Roman" w:hAnsi="Times New Roman" w:cs="Times New Roman"/>
          <w:lang w:val="en-NZ"/>
        </w:rPr>
        <w:t xml:space="preserve"> Not only does this generate a shift in attitude </w:t>
      </w:r>
      <w:r w:rsidR="00366275">
        <w:rPr>
          <w:rFonts w:ascii="Times New Roman" w:hAnsi="Times New Roman" w:cs="Times New Roman"/>
          <w:lang w:val="en-NZ"/>
        </w:rPr>
        <w:t>when it comes to speaking ou</w:t>
      </w:r>
      <w:r w:rsidR="0080756E">
        <w:rPr>
          <w:rFonts w:ascii="Times New Roman" w:hAnsi="Times New Roman" w:cs="Times New Roman"/>
          <w:lang w:val="en-NZ"/>
        </w:rPr>
        <w:t>t about ins</w:t>
      </w:r>
      <w:r w:rsidR="00B31D9B">
        <w:rPr>
          <w:rFonts w:ascii="Times New Roman" w:hAnsi="Times New Roman" w:cs="Times New Roman"/>
          <w:lang w:val="en-NZ"/>
        </w:rPr>
        <w:t xml:space="preserve">tances of </w:t>
      </w:r>
      <w:r w:rsidR="00B31D9B">
        <w:rPr>
          <w:rFonts w:ascii="Times New Roman" w:hAnsi="Times New Roman" w:cs="Times New Roman"/>
          <w:lang w:val="en-NZ"/>
        </w:rPr>
        <w:lastRenderedPageBreak/>
        <w:t>violence and harassment, it encourages greater compliance with employment obligations</w:t>
      </w:r>
      <w:r w:rsidR="00F37344">
        <w:rPr>
          <w:rFonts w:ascii="Times New Roman" w:hAnsi="Times New Roman" w:cs="Times New Roman"/>
          <w:lang w:val="en-NZ"/>
        </w:rPr>
        <w:t xml:space="preserve">. </w:t>
      </w:r>
      <w:r w:rsidR="0080756E">
        <w:rPr>
          <w:rFonts w:ascii="Times New Roman" w:hAnsi="Times New Roman" w:cs="Times New Roman"/>
          <w:lang w:val="en-NZ"/>
        </w:rPr>
        <w:t xml:space="preserve">Despite being incidental issues, employers often face long-term consequences where violence and harassment occur at work, including </w:t>
      </w:r>
      <w:r w:rsidR="00C63C89">
        <w:rPr>
          <w:rFonts w:ascii="Times New Roman" w:hAnsi="Times New Roman" w:cs="Times New Roman"/>
          <w:lang w:val="en-NZ"/>
        </w:rPr>
        <w:t>legal co</w:t>
      </w:r>
      <w:r w:rsidR="0080756E">
        <w:rPr>
          <w:rFonts w:ascii="Times New Roman" w:hAnsi="Times New Roman" w:cs="Times New Roman"/>
          <w:lang w:val="en-NZ"/>
        </w:rPr>
        <w:t xml:space="preserve">sts, </w:t>
      </w:r>
      <w:r w:rsidR="00C63C89">
        <w:rPr>
          <w:rFonts w:ascii="Times New Roman" w:hAnsi="Times New Roman" w:cs="Times New Roman"/>
          <w:lang w:val="en-NZ"/>
        </w:rPr>
        <w:t>high staff turnover, use of sick leave and long-term disability cost</w:t>
      </w:r>
      <w:r w:rsidR="00A02B46">
        <w:rPr>
          <w:rFonts w:ascii="Times New Roman" w:hAnsi="Times New Roman" w:cs="Times New Roman"/>
          <w:lang w:val="en-NZ"/>
        </w:rPr>
        <w:t>s and reputation costs often effecting lower quality service.</w:t>
      </w:r>
      <w:r w:rsidR="00795401">
        <w:rPr>
          <w:rFonts w:ascii="Times New Roman" w:hAnsi="Times New Roman" w:cs="Times New Roman"/>
          <w:lang w:val="en-NZ"/>
        </w:rPr>
        <w:t xml:space="preserve"> T</w:t>
      </w:r>
      <w:r w:rsidR="008408AB">
        <w:rPr>
          <w:rFonts w:ascii="Times New Roman" w:hAnsi="Times New Roman" w:cs="Times New Roman"/>
          <w:lang w:val="en-NZ"/>
        </w:rPr>
        <w:t xml:space="preserve">hese consequences may be prevented under an integrated approach to employment-related violence and harassment that fuses gaps in existing legislation with </w:t>
      </w:r>
      <w:r w:rsidR="00A803EE">
        <w:rPr>
          <w:rFonts w:ascii="Times New Roman" w:hAnsi="Times New Roman" w:cs="Times New Roman"/>
          <w:lang w:val="en-NZ"/>
        </w:rPr>
        <w:t>a confrontation of discriminative societal influences.</w:t>
      </w:r>
      <w:r w:rsidR="00E907EA">
        <w:rPr>
          <w:rFonts w:ascii="Times New Roman" w:hAnsi="Times New Roman" w:cs="Times New Roman"/>
          <w:lang w:val="en-NZ"/>
        </w:rPr>
        <w:t xml:space="preserve"> </w:t>
      </w:r>
      <w:r w:rsidR="0036482D">
        <w:rPr>
          <w:rFonts w:ascii="Times New Roman" w:hAnsi="Times New Roman" w:cs="Times New Roman"/>
          <w:lang w:val="en-NZ"/>
        </w:rPr>
        <w:t>The future of international employment regulation relies on such cohesiveness and the inclusion of wider circumstances to rectify the uncertainty of COVID-19 and strengthen multilateral relations. New Zealand’s position</w:t>
      </w:r>
      <w:r w:rsidR="00E54F71">
        <w:rPr>
          <w:rFonts w:ascii="Times New Roman" w:hAnsi="Times New Roman" w:cs="Times New Roman"/>
          <w:lang w:val="en-NZ"/>
        </w:rPr>
        <w:t xml:space="preserve"> of guidance in COVID-19 recovery and regional leadership and development in the Pacific may </w:t>
      </w:r>
      <w:r w:rsidR="00C31D7D">
        <w:rPr>
          <w:rFonts w:ascii="Times New Roman" w:hAnsi="Times New Roman" w:cs="Times New Roman"/>
          <w:lang w:val="en-NZ"/>
        </w:rPr>
        <w:t xml:space="preserve">consequently </w:t>
      </w:r>
      <w:r w:rsidR="00E54F71">
        <w:rPr>
          <w:rFonts w:ascii="Times New Roman" w:hAnsi="Times New Roman" w:cs="Times New Roman"/>
          <w:lang w:val="en-NZ"/>
        </w:rPr>
        <w:t xml:space="preserve">be enhanced through </w:t>
      </w:r>
      <w:r w:rsidR="00AB3CA1">
        <w:rPr>
          <w:rFonts w:ascii="Times New Roman" w:hAnsi="Times New Roman" w:cs="Times New Roman"/>
          <w:lang w:val="en-NZ"/>
        </w:rPr>
        <w:t xml:space="preserve">an </w:t>
      </w:r>
      <w:r w:rsidR="00E54F71">
        <w:rPr>
          <w:rFonts w:ascii="Times New Roman" w:hAnsi="Times New Roman" w:cs="Times New Roman"/>
          <w:lang w:val="en-NZ"/>
        </w:rPr>
        <w:t xml:space="preserve">effective </w:t>
      </w:r>
      <w:r w:rsidR="00AB3CA1">
        <w:rPr>
          <w:rFonts w:ascii="Times New Roman" w:hAnsi="Times New Roman" w:cs="Times New Roman"/>
          <w:lang w:val="en-NZ"/>
        </w:rPr>
        <w:t xml:space="preserve">implementation of </w:t>
      </w:r>
      <w:r w:rsidR="00054C7C">
        <w:rPr>
          <w:rFonts w:ascii="Times New Roman" w:hAnsi="Times New Roman" w:cs="Times New Roman"/>
          <w:lang w:val="en-NZ"/>
        </w:rPr>
        <w:t>the Convention’s unquestionably significant objectives. The positive impacts of Convention 190 on New Zealand’s international standing and COVID-</w:t>
      </w:r>
      <w:r w:rsidR="00DA6A5C">
        <w:rPr>
          <w:rFonts w:ascii="Times New Roman" w:hAnsi="Times New Roman" w:cs="Times New Roman"/>
          <w:lang w:val="en-NZ"/>
        </w:rPr>
        <w:t>1</w:t>
      </w:r>
      <w:r w:rsidR="00054C7C">
        <w:rPr>
          <w:rFonts w:ascii="Times New Roman" w:hAnsi="Times New Roman" w:cs="Times New Roman"/>
          <w:lang w:val="en-NZ"/>
        </w:rPr>
        <w:t>9 mitigation strategy will be discussed further in Part Three of this report.</w:t>
      </w:r>
    </w:p>
    <w:p w14:paraId="3F3EAA51" w14:textId="77777777" w:rsidR="00054C7C" w:rsidRDefault="00054C7C" w:rsidP="00BF4463">
      <w:pPr>
        <w:spacing w:line="360" w:lineRule="auto"/>
        <w:ind w:right="521"/>
        <w:jc w:val="both"/>
        <w:rPr>
          <w:rFonts w:ascii="Times New Roman" w:hAnsi="Times New Roman" w:cs="Times New Roman"/>
          <w:lang w:val="en-NZ"/>
        </w:rPr>
      </w:pPr>
    </w:p>
    <w:p w14:paraId="04391B65" w14:textId="20DA14B0" w:rsidR="00054C7C" w:rsidRPr="00573F35" w:rsidRDefault="00054C7C" w:rsidP="00BF4463">
      <w:pPr>
        <w:pStyle w:val="Heading2"/>
        <w:spacing w:line="360" w:lineRule="auto"/>
        <w:rPr>
          <w:rFonts w:ascii="Times New Roman" w:hAnsi="Times New Roman" w:cs="Times New Roman"/>
          <w:sz w:val="24"/>
          <w:szCs w:val="24"/>
          <w:lang w:val="en-NZ"/>
        </w:rPr>
      </w:pPr>
      <w:bookmarkStart w:id="21" w:name="_Toc87264445"/>
      <w:bookmarkStart w:id="22" w:name="_Toc92724691"/>
      <w:bookmarkStart w:id="23" w:name="_Toc92724716"/>
      <w:r w:rsidRPr="00573F35">
        <w:rPr>
          <w:rFonts w:ascii="Times New Roman" w:hAnsi="Times New Roman" w:cs="Times New Roman"/>
          <w:sz w:val="24"/>
          <w:szCs w:val="24"/>
          <w:lang w:val="en-NZ"/>
        </w:rPr>
        <w:t>Call for the New Zealand Government</w:t>
      </w:r>
      <w:bookmarkEnd w:id="21"/>
      <w:bookmarkEnd w:id="22"/>
      <w:bookmarkEnd w:id="23"/>
    </w:p>
    <w:p w14:paraId="4474BF11" w14:textId="1B675844" w:rsidR="00054C7C" w:rsidRDefault="00054C7C" w:rsidP="00BF4463">
      <w:pPr>
        <w:spacing w:line="360" w:lineRule="auto"/>
        <w:ind w:right="521"/>
        <w:jc w:val="both"/>
        <w:rPr>
          <w:rFonts w:ascii="Times New Roman" w:hAnsi="Times New Roman" w:cs="Times New Roman"/>
          <w:i/>
          <w:iCs/>
          <w:lang w:val="en-NZ"/>
        </w:rPr>
      </w:pPr>
    </w:p>
    <w:p w14:paraId="66B1EB3D" w14:textId="35B9E056" w:rsidR="005F2B73" w:rsidRPr="005F2B73" w:rsidRDefault="005F2B73" w:rsidP="005F2B73">
      <w:pPr>
        <w:pStyle w:val="Heading3"/>
        <w:rPr>
          <w:rFonts w:ascii="Times New Roman" w:hAnsi="Times New Roman" w:cs="Times New Roman"/>
          <w:lang w:val="en-NZ"/>
        </w:rPr>
      </w:pPr>
      <w:bookmarkStart w:id="24" w:name="_Toc92724692"/>
      <w:bookmarkStart w:id="25" w:name="_Toc92724717"/>
      <w:r w:rsidRPr="005F2B73">
        <w:rPr>
          <w:rFonts w:ascii="Times New Roman" w:hAnsi="Times New Roman" w:cs="Times New Roman"/>
          <w:lang w:val="en-NZ"/>
        </w:rPr>
        <w:t>Decision Makers and Employment Bodies</w:t>
      </w:r>
      <w:bookmarkEnd w:id="24"/>
      <w:bookmarkEnd w:id="25"/>
    </w:p>
    <w:p w14:paraId="2A2E935C" w14:textId="45974391" w:rsidR="00054C7C" w:rsidRDefault="00054C7C" w:rsidP="00BF4463">
      <w:pPr>
        <w:spacing w:line="360" w:lineRule="auto"/>
        <w:ind w:right="-46"/>
        <w:jc w:val="both"/>
        <w:rPr>
          <w:rFonts w:ascii="Times New Roman" w:hAnsi="Times New Roman" w:cs="Times New Roman"/>
          <w:lang w:val="en-NZ"/>
        </w:rPr>
      </w:pPr>
      <w:r>
        <w:rPr>
          <w:rFonts w:ascii="Times New Roman" w:hAnsi="Times New Roman" w:cs="Times New Roman"/>
          <w:lang w:val="en-NZ"/>
        </w:rPr>
        <w:t xml:space="preserve">What must be envisioned for </w:t>
      </w:r>
      <w:r w:rsidR="0035056C">
        <w:rPr>
          <w:rFonts w:ascii="Times New Roman" w:hAnsi="Times New Roman" w:cs="Times New Roman"/>
          <w:lang w:val="en-NZ"/>
        </w:rPr>
        <w:t>Convention 190 in New Zealand is a ‘Journey to Ratification.’ This</w:t>
      </w:r>
      <w:r w:rsidR="00DA6A5C">
        <w:rPr>
          <w:rFonts w:ascii="Times New Roman" w:hAnsi="Times New Roman" w:cs="Times New Roman"/>
          <w:lang w:val="en-NZ"/>
        </w:rPr>
        <w:t xml:space="preserve"> journey</w:t>
      </w:r>
      <w:r w:rsidR="0035056C">
        <w:rPr>
          <w:rFonts w:ascii="Times New Roman" w:hAnsi="Times New Roman" w:cs="Times New Roman"/>
          <w:lang w:val="en-NZ"/>
        </w:rPr>
        <w:t xml:space="preserve"> involves a series of actions that work towards an observance</w:t>
      </w:r>
      <w:r w:rsidR="00DA6A5C">
        <w:rPr>
          <w:rFonts w:ascii="Times New Roman" w:hAnsi="Times New Roman" w:cs="Times New Roman"/>
          <w:lang w:val="en-NZ"/>
        </w:rPr>
        <w:t xml:space="preserve"> and ultimately ratification</w:t>
      </w:r>
      <w:r w:rsidR="0035056C">
        <w:rPr>
          <w:rFonts w:ascii="Times New Roman" w:hAnsi="Times New Roman" w:cs="Times New Roman"/>
          <w:lang w:val="en-NZ"/>
        </w:rPr>
        <w:t xml:space="preserve"> of Convention 190 obligations in national employment regimes and practice. Political strategy </w:t>
      </w:r>
      <w:r w:rsidR="00922178">
        <w:rPr>
          <w:rFonts w:ascii="Times New Roman" w:hAnsi="Times New Roman" w:cs="Times New Roman"/>
          <w:lang w:val="en-NZ"/>
        </w:rPr>
        <w:t>begins with di</w:t>
      </w:r>
      <w:r w:rsidR="00AF3657">
        <w:rPr>
          <w:rFonts w:ascii="Times New Roman" w:hAnsi="Times New Roman" w:cs="Times New Roman"/>
          <w:lang w:val="en-NZ"/>
        </w:rPr>
        <w:t>alogue</w:t>
      </w:r>
      <w:r w:rsidR="00922178">
        <w:rPr>
          <w:rFonts w:ascii="Times New Roman" w:hAnsi="Times New Roman" w:cs="Times New Roman"/>
          <w:lang w:val="en-NZ"/>
        </w:rPr>
        <w:t xml:space="preserve"> </w:t>
      </w:r>
      <w:r w:rsidR="00AF3657">
        <w:rPr>
          <w:rFonts w:ascii="Times New Roman" w:hAnsi="Times New Roman" w:cs="Times New Roman"/>
          <w:lang w:val="en-NZ"/>
        </w:rPr>
        <w:t>uniting</w:t>
      </w:r>
      <w:r w:rsidR="00C85ACF">
        <w:rPr>
          <w:rFonts w:ascii="Times New Roman" w:hAnsi="Times New Roman" w:cs="Times New Roman"/>
          <w:lang w:val="en-NZ"/>
        </w:rPr>
        <w:t xml:space="preserve"> labour sector decision-makers with </w:t>
      </w:r>
      <w:r w:rsidR="00AF3657">
        <w:rPr>
          <w:rFonts w:ascii="Times New Roman" w:hAnsi="Times New Roman" w:cs="Times New Roman"/>
          <w:lang w:val="en-NZ"/>
        </w:rPr>
        <w:t>employment organisations. For example, as acting Minister of Workplace Relations and Safety, Hon Michael Wood is responsible for both WorkSafe New Zealand and the functioning of the state’s relationship with the ILO.</w:t>
      </w:r>
      <w:r w:rsidR="005C339E">
        <w:rPr>
          <w:rStyle w:val="FootnoteReference"/>
          <w:rFonts w:ascii="Times New Roman" w:hAnsi="Times New Roman" w:cs="Times New Roman"/>
          <w:lang w:val="en-NZ"/>
        </w:rPr>
        <w:footnoteReference w:id="35"/>
      </w:r>
      <w:r w:rsidR="0062597B">
        <w:rPr>
          <w:rFonts w:ascii="Times New Roman" w:hAnsi="Times New Roman" w:cs="Times New Roman"/>
          <w:lang w:val="en-NZ"/>
        </w:rPr>
        <w:t xml:space="preserve"> Given the ILO’s mandate includes the promotion of fundamental labour rights, employment opportunities and social dialogue on work-related issues, </w:t>
      </w:r>
      <w:r w:rsidR="0092620E">
        <w:rPr>
          <w:rFonts w:ascii="Times New Roman" w:hAnsi="Times New Roman" w:cs="Times New Roman"/>
          <w:lang w:val="en-NZ"/>
        </w:rPr>
        <w:t>formal partnerships such as th</w:t>
      </w:r>
      <w:r w:rsidR="00C90BED">
        <w:rPr>
          <w:rFonts w:ascii="Times New Roman" w:hAnsi="Times New Roman" w:cs="Times New Roman"/>
          <w:lang w:val="en-NZ"/>
        </w:rPr>
        <w:t>is p</w:t>
      </w:r>
      <w:r w:rsidR="0092620E">
        <w:rPr>
          <w:rFonts w:ascii="Times New Roman" w:hAnsi="Times New Roman" w:cs="Times New Roman"/>
          <w:lang w:val="en-NZ"/>
        </w:rPr>
        <w:t xml:space="preserve">rovide an </w:t>
      </w:r>
      <w:r w:rsidR="00CC2582">
        <w:rPr>
          <w:rFonts w:ascii="Times New Roman" w:hAnsi="Times New Roman" w:cs="Times New Roman"/>
          <w:lang w:val="en-NZ"/>
        </w:rPr>
        <w:t xml:space="preserve">entry point for collaboration </w:t>
      </w:r>
      <w:r w:rsidR="00C90BED">
        <w:rPr>
          <w:rFonts w:ascii="Times New Roman" w:hAnsi="Times New Roman" w:cs="Times New Roman"/>
          <w:lang w:val="en-NZ"/>
        </w:rPr>
        <w:t>between governmental and non-governmental bodies. This allows for inclusive consultation that facilitate</w:t>
      </w:r>
      <w:r w:rsidR="00283B0A">
        <w:rPr>
          <w:rFonts w:ascii="Times New Roman" w:hAnsi="Times New Roman" w:cs="Times New Roman"/>
          <w:lang w:val="en-NZ"/>
        </w:rPr>
        <w:t>s</w:t>
      </w:r>
      <w:r w:rsidR="00C90BED">
        <w:rPr>
          <w:rFonts w:ascii="Times New Roman" w:hAnsi="Times New Roman" w:cs="Times New Roman"/>
          <w:lang w:val="en-NZ"/>
        </w:rPr>
        <w:t xml:space="preserve"> </w:t>
      </w:r>
      <w:r w:rsidR="00E8484B">
        <w:rPr>
          <w:rFonts w:ascii="Times New Roman" w:hAnsi="Times New Roman" w:cs="Times New Roman"/>
          <w:lang w:val="en-NZ"/>
        </w:rPr>
        <w:t>information sharing</w:t>
      </w:r>
      <w:r w:rsidR="00023528">
        <w:rPr>
          <w:rFonts w:ascii="Times New Roman" w:hAnsi="Times New Roman" w:cs="Times New Roman"/>
          <w:lang w:val="en-NZ"/>
        </w:rPr>
        <w:t>.</w:t>
      </w:r>
      <w:r w:rsidR="0058407A">
        <w:rPr>
          <w:rFonts w:ascii="Times New Roman" w:hAnsi="Times New Roman" w:cs="Times New Roman"/>
          <w:lang w:val="en-NZ"/>
        </w:rPr>
        <w:t xml:space="preserve"> </w:t>
      </w:r>
      <w:r w:rsidR="00023528">
        <w:rPr>
          <w:rFonts w:ascii="Times New Roman" w:hAnsi="Times New Roman" w:cs="Times New Roman"/>
          <w:lang w:val="en-NZ"/>
        </w:rPr>
        <w:t>Pa</w:t>
      </w:r>
      <w:r w:rsidR="0058407A">
        <w:rPr>
          <w:rFonts w:ascii="Times New Roman" w:hAnsi="Times New Roman" w:cs="Times New Roman"/>
          <w:lang w:val="en-NZ"/>
        </w:rPr>
        <w:t>rticularly</w:t>
      </w:r>
      <w:r w:rsidR="00023528">
        <w:rPr>
          <w:rFonts w:ascii="Times New Roman" w:hAnsi="Times New Roman" w:cs="Times New Roman"/>
          <w:lang w:val="en-NZ"/>
        </w:rPr>
        <w:t>,</w:t>
      </w:r>
      <w:r w:rsidR="0058407A">
        <w:rPr>
          <w:rFonts w:ascii="Times New Roman" w:hAnsi="Times New Roman" w:cs="Times New Roman"/>
          <w:lang w:val="en-NZ"/>
        </w:rPr>
        <w:t xml:space="preserve"> </w:t>
      </w:r>
      <w:r w:rsidR="00283B0A">
        <w:rPr>
          <w:rFonts w:ascii="Times New Roman" w:hAnsi="Times New Roman" w:cs="Times New Roman"/>
          <w:lang w:val="en-NZ"/>
        </w:rPr>
        <w:t xml:space="preserve">the provision of </w:t>
      </w:r>
      <w:r w:rsidR="0058407A">
        <w:rPr>
          <w:rFonts w:ascii="Times New Roman" w:hAnsi="Times New Roman" w:cs="Times New Roman"/>
          <w:lang w:val="en-NZ"/>
        </w:rPr>
        <w:t xml:space="preserve">expertise on workplace experience and the increased presence of violence and harassment in certain industries. </w:t>
      </w:r>
      <w:r w:rsidR="004C6B9D">
        <w:rPr>
          <w:rFonts w:ascii="Times New Roman" w:hAnsi="Times New Roman" w:cs="Times New Roman"/>
          <w:lang w:val="en-NZ"/>
        </w:rPr>
        <w:t>The next step would involve an amalgamation of this discourse with the obligations outlined under Convention</w:t>
      </w:r>
      <w:r w:rsidR="00023528">
        <w:rPr>
          <w:rFonts w:ascii="Times New Roman" w:hAnsi="Times New Roman" w:cs="Times New Roman"/>
          <w:lang w:val="en-NZ"/>
        </w:rPr>
        <w:t xml:space="preserve"> 190</w:t>
      </w:r>
      <w:r w:rsidR="004C6B9D">
        <w:rPr>
          <w:rFonts w:ascii="Times New Roman" w:hAnsi="Times New Roman" w:cs="Times New Roman"/>
          <w:lang w:val="en-NZ"/>
        </w:rPr>
        <w:t xml:space="preserve">, to develop legislative reform that best </w:t>
      </w:r>
      <w:r w:rsidR="008864A7">
        <w:rPr>
          <w:rFonts w:ascii="Times New Roman" w:hAnsi="Times New Roman" w:cs="Times New Roman"/>
          <w:lang w:val="en-NZ"/>
        </w:rPr>
        <w:t>responds to</w:t>
      </w:r>
      <w:r w:rsidR="004C6B9D">
        <w:rPr>
          <w:rFonts w:ascii="Times New Roman" w:hAnsi="Times New Roman" w:cs="Times New Roman"/>
          <w:lang w:val="en-NZ"/>
        </w:rPr>
        <w:t xml:space="preserve"> New Zealand circumstances.</w:t>
      </w:r>
      <w:r w:rsidR="00EF75F2">
        <w:rPr>
          <w:rFonts w:ascii="Times New Roman" w:hAnsi="Times New Roman" w:cs="Times New Roman"/>
          <w:lang w:val="en-NZ"/>
        </w:rPr>
        <w:t xml:space="preserve"> The ILO has state</w:t>
      </w:r>
      <w:r w:rsidR="004A5E25">
        <w:rPr>
          <w:rFonts w:ascii="Times New Roman" w:hAnsi="Times New Roman" w:cs="Times New Roman"/>
          <w:lang w:val="en-NZ"/>
        </w:rPr>
        <w:t xml:space="preserve">d that action against sexual harassment in the world of work requires a gender-responsive approach </w:t>
      </w:r>
      <w:r w:rsidR="004A5E25">
        <w:rPr>
          <w:rFonts w:ascii="Times New Roman" w:hAnsi="Times New Roman" w:cs="Times New Roman"/>
          <w:lang w:val="en-NZ"/>
        </w:rPr>
        <w:lastRenderedPageBreak/>
        <w:t>and a closure of legislative gaps for the effective prevention of, and protection against, sexual harassment.</w:t>
      </w:r>
      <w:r w:rsidR="00F83A71">
        <w:rPr>
          <w:rStyle w:val="FootnoteReference"/>
          <w:rFonts w:ascii="Times New Roman" w:hAnsi="Times New Roman" w:cs="Times New Roman"/>
          <w:lang w:val="en-NZ"/>
        </w:rPr>
        <w:footnoteReference w:id="36"/>
      </w:r>
      <w:r w:rsidR="00197FFC">
        <w:rPr>
          <w:rFonts w:ascii="Times New Roman" w:hAnsi="Times New Roman" w:cs="Times New Roman"/>
          <w:lang w:val="en-NZ"/>
        </w:rPr>
        <w:t xml:space="preserve"> As mentioned earlier, a complaints and disputes body that is gender responsive and upholds a degree of institutional authority woul</w:t>
      </w:r>
      <w:r w:rsidR="0036768E">
        <w:rPr>
          <w:rFonts w:ascii="Times New Roman" w:hAnsi="Times New Roman" w:cs="Times New Roman"/>
          <w:lang w:val="en-NZ"/>
        </w:rPr>
        <w:t xml:space="preserve">d not only provide a means of holding employers accountable for complacent behaviour, but also a secure forum where victims may voice their experiences. It is through this platform that </w:t>
      </w:r>
      <w:r w:rsidR="00C846A5">
        <w:rPr>
          <w:rFonts w:ascii="Times New Roman" w:hAnsi="Times New Roman" w:cs="Times New Roman"/>
          <w:lang w:val="en-NZ"/>
        </w:rPr>
        <w:t>incidents of violence and harassment would be increasingly acknowledged and addressed, for enhanced transparency in the functioning of New Zealand workplaces.</w:t>
      </w:r>
    </w:p>
    <w:p w14:paraId="08D80D85" w14:textId="36E0246D" w:rsidR="00023528" w:rsidRDefault="00023528" w:rsidP="00BF4463">
      <w:pPr>
        <w:spacing w:line="360" w:lineRule="auto"/>
        <w:ind w:right="-46"/>
        <w:jc w:val="both"/>
        <w:rPr>
          <w:rFonts w:ascii="Times New Roman" w:hAnsi="Times New Roman" w:cs="Times New Roman"/>
          <w:lang w:val="en-NZ"/>
        </w:rPr>
      </w:pPr>
    </w:p>
    <w:p w14:paraId="4FE233A0" w14:textId="14CB3BF3" w:rsidR="005F2B73" w:rsidRPr="005F2B73" w:rsidRDefault="005F2B73" w:rsidP="005F2B73">
      <w:pPr>
        <w:pStyle w:val="Heading3"/>
        <w:rPr>
          <w:rFonts w:ascii="Times New Roman" w:hAnsi="Times New Roman" w:cs="Times New Roman"/>
          <w:lang w:val="en-NZ"/>
        </w:rPr>
      </w:pPr>
      <w:bookmarkStart w:id="26" w:name="_Toc92724693"/>
      <w:bookmarkStart w:id="27" w:name="_Toc92724718"/>
      <w:r w:rsidRPr="005F2B73">
        <w:rPr>
          <w:rFonts w:ascii="Times New Roman" w:hAnsi="Times New Roman" w:cs="Times New Roman"/>
          <w:lang w:val="en-NZ"/>
        </w:rPr>
        <w:t>Legislative Reform</w:t>
      </w:r>
      <w:bookmarkEnd w:id="26"/>
      <w:bookmarkEnd w:id="27"/>
    </w:p>
    <w:p w14:paraId="522C6C42" w14:textId="449B2E42" w:rsidR="00944EAD" w:rsidRDefault="00785711" w:rsidP="00BF4463">
      <w:pPr>
        <w:spacing w:line="360" w:lineRule="auto"/>
        <w:ind w:right="-46"/>
        <w:jc w:val="both"/>
        <w:rPr>
          <w:rFonts w:ascii="Times New Roman" w:hAnsi="Times New Roman" w:cs="Times New Roman"/>
          <w:lang w:val="en-NZ"/>
        </w:rPr>
      </w:pPr>
      <w:r>
        <w:rPr>
          <w:rFonts w:ascii="Times New Roman" w:hAnsi="Times New Roman" w:cs="Times New Roman"/>
          <w:lang w:val="en-NZ"/>
        </w:rPr>
        <w:t>The</w:t>
      </w:r>
      <w:r w:rsidR="00C846A5">
        <w:rPr>
          <w:rFonts w:ascii="Times New Roman" w:hAnsi="Times New Roman" w:cs="Times New Roman"/>
          <w:lang w:val="en-NZ"/>
        </w:rPr>
        <w:t xml:space="preserve"> most </w:t>
      </w:r>
      <w:r w:rsidR="00B45C15">
        <w:rPr>
          <w:rFonts w:ascii="Times New Roman" w:hAnsi="Times New Roman" w:cs="Times New Roman"/>
          <w:lang w:val="en-NZ"/>
        </w:rPr>
        <w:t xml:space="preserve">fundamental, and subsequently the most challenging </w:t>
      </w:r>
      <w:r w:rsidR="00EA2E8A">
        <w:rPr>
          <w:rFonts w:ascii="Times New Roman" w:hAnsi="Times New Roman" w:cs="Times New Roman"/>
          <w:lang w:val="en-NZ"/>
        </w:rPr>
        <w:t>action the government can pursue,</w:t>
      </w:r>
      <w:r w:rsidR="00B45C15">
        <w:rPr>
          <w:rFonts w:ascii="Times New Roman" w:hAnsi="Times New Roman" w:cs="Times New Roman"/>
          <w:lang w:val="en-NZ"/>
        </w:rPr>
        <w:t xml:space="preserve"> is legislative refor</w:t>
      </w:r>
      <w:r w:rsidR="009C1697">
        <w:rPr>
          <w:rFonts w:ascii="Times New Roman" w:hAnsi="Times New Roman" w:cs="Times New Roman"/>
          <w:lang w:val="en-NZ"/>
        </w:rPr>
        <w:t xml:space="preserve">m. </w:t>
      </w:r>
      <w:r w:rsidR="009B1AFE">
        <w:rPr>
          <w:rFonts w:ascii="Times New Roman" w:hAnsi="Times New Roman" w:cs="Times New Roman"/>
          <w:lang w:val="en-NZ"/>
        </w:rPr>
        <w:t>Enacting</w:t>
      </w:r>
      <w:r w:rsidR="009C1697">
        <w:rPr>
          <w:rFonts w:ascii="Times New Roman" w:hAnsi="Times New Roman" w:cs="Times New Roman"/>
          <w:lang w:val="en-NZ"/>
        </w:rPr>
        <w:t xml:space="preserve"> legal obligations </w:t>
      </w:r>
      <w:r w:rsidR="009B1AFE">
        <w:rPr>
          <w:rFonts w:ascii="Times New Roman" w:hAnsi="Times New Roman" w:cs="Times New Roman"/>
          <w:lang w:val="en-NZ"/>
        </w:rPr>
        <w:t>that reflect the aims of the Conventio</w:t>
      </w:r>
      <w:r w:rsidR="000F1A56">
        <w:rPr>
          <w:rFonts w:ascii="Times New Roman" w:hAnsi="Times New Roman" w:cs="Times New Roman"/>
          <w:lang w:val="en-NZ"/>
        </w:rPr>
        <w:t xml:space="preserve">n demand a reformation of labour practices at their core, to </w:t>
      </w:r>
      <w:r w:rsidR="00AE28B3">
        <w:rPr>
          <w:rFonts w:ascii="Times New Roman" w:hAnsi="Times New Roman" w:cs="Times New Roman"/>
          <w:lang w:val="en-NZ"/>
        </w:rPr>
        <w:t xml:space="preserve">more authoritatively </w:t>
      </w:r>
      <w:r w:rsidR="00111461">
        <w:rPr>
          <w:rFonts w:ascii="Times New Roman" w:hAnsi="Times New Roman" w:cs="Times New Roman"/>
          <w:lang w:val="en-NZ"/>
        </w:rPr>
        <w:t xml:space="preserve"> </w:t>
      </w:r>
      <w:r w:rsidR="001906D4">
        <w:rPr>
          <w:rFonts w:ascii="Times New Roman" w:hAnsi="Times New Roman" w:cs="Times New Roman"/>
          <w:lang w:val="en-NZ"/>
        </w:rPr>
        <w:t>guide</w:t>
      </w:r>
      <w:r w:rsidR="00111461">
        <w:rPr>
          <w:rFonts w:ascii="Times New Roman" w:hAnsi="Times New Roman" w:cs="Times New Roman"/>
          <w:lang w:val="en-NZ"/>
        </w:rPr>
        <w:t xml:space="preserve"> ideological chang</w:t>
      </w:r>
      <w:r w:rsidR="00F74E8D">
        <w:rPr>
          <w:rFonts w:ascii="Times New Roman" w:hAnsi="Times New Roman" w:cs="Times New Roman"/>
          <w:lang w:val="en-NZ"/>
        </w:rPr>
        <w:t>es in workplace behaviour. Moreover, given many of Convention 190’s provisions are formatted to reflec</w:t>
      </w:r>
      <w:r w:rsidR="0022712C">
        <w:rPr>
          <w:rFonts w:ascii="Times New Roman" w:hAnsi="Times New Roman" w:cs="Times New Roman"/>
          <w:lang w:val="en-NZ"/>
        </w:rPr>
        <w:t>t specific</w:t>
      </w:r>
      <w:r w:rsidR="00F74E8D">
        <w:rPr>
          <w:rFonts w:ascii="Times New Roman" w:hAnsi="Times New Roman" w:cs="Times New Roman"/>
          <w:lang w:val="en-NZ"/>
        </w:rPr>
        <w:t xml:space="preserve"> obligations, the process of incorporating the instrument in</w:t>
      </w:r>
      <w:r w:rsidR="0022712C">
        <w:rPr>
          <w:rFonts w:ascii="Times New Roman" w:hAnsi="Times New Roman" w:cs="Times New Roman"/>
          <w:lang w:val="en-NZ"/>
        </w:rPr>
        <w:t xml:space="preserve">to </w:t>
      </w:r>
      <w:r w:rsidR="00F74E8D">
        <w:rPr>
          <w:rFonts w:ascii="Times New Roman" w:hAnsi="Times New Roman" w:cs="Times New Roman"/>
          <w:lang w:val="en-NZ"/>
        </w:rPr>
        <w:t xml:space="preserve">national legislation </w:t>
      </w:r>
      <w:r w:rsidR="0022712C">
        <w:rPr>
          <w:rFonts w:ascii="Times New Roman" w:hAnsi="Times New Roman" w:cs="Times New Roman"/>
          <w:lang w:val="en-NZ"/>
        </w:rPr>
        <w:t xml:space="preserve">would </w:t>
      </w:r>
      <w:r w:rsidR="004B58D6">
        <w:rPr>
          <w:rFonts w:ascii="Times New Roman" w:hAnsi="Times New Roman" w:cs="Times New Roman"/>
          <w:lang w:val="en-NZ"/>
        </w:rPr>
        <w:t>largely revolve around the</w:t>
      </w:r>
      <w:r w:rsidR="00F74E8D">
        <w:rPr>
          <w:rFonts w:ascii="Times New Roman" w:hAnsi="Times New Roman" w:cs="Times New Roman"/>
          <w:lang w:val="en-NZ"/>
        </w:rPr>
        <w:t xml:space="preserve"> adaptation of these obligations </w:t>
      </w:r>
      <w:r w:rsidR="0022712C">
        <w:rPr>
          <w:rFonts w:ascii="Times New Roman" w:hAnsi="Times New Roman" w:cs="Times New Roman"/>
          <w:lang w:val="en-NZ"/>
        </w:rPr>
        <w:t>in</w:t>
      </w:r>
      <w:r w:rsidR="00F74E8D">
        <w:rPr>
          <w:rFonts w:ascii="Times New Roman" w:hAnsi="Times New Roman" w:cs="Times New Roman"/>
          <w:lang w:val="en-NZ"/>
        </w:rPr>
        <w:t xml:space="preserve"> New Zealand’s world of wor</w:t>
      </w:r>
      <w:r w:rsidR="00944EAD">
        <w:rPr>
          <w:rFonts w:ascii="Times New Roman" w:hAnsi="Times New Roman" w:cs="Times New Roman"/>
          <w:lang w:val="en-NZ"/>
        </w:rPr>
        <w:t xml:space="preserve">k. </w:t>
      </w:r>
      <w:r w:rsidR="00C9654B">
        <w:rPr>
          <w:rFonts w:ascii="Times New Roman" w:hAnsi="Times New Roman" w:cs="Times New Roman"/>
          <w:lang w:val="en-NZ"/>
        </w:rPr>
        <w:t xml:space="preserve">Three pieces of legislation </w:t>
      </w:r>
      <w:r w:rsidR="00944EAD">
        <w:rPr>
          <w:rFonts w:ascii="Times New Roman" w:hAnsi="Times New Roman" w:cs="Times New Roman"/>
          <w:lang w:val="en-NZ"/>
        </w:rPr>
        <w:t xml:space="preserve">in particular provide an effective basis for instituting </w:t>
      </w:r>
      <w:r w:rsidR="00237C8A">
        <w:rPr>
          <w:rFonts w:ascii="Times New Roman" w:hAnsi="Times New Roman" w:cs="Times New Roman"/>
          <w:lang w:val="en-NZ"/>
        </w:rPr>
        <w:t xml:space="preserve">Convention 190 </w:t>
      </w:r>
      <w:r w:rsidR="00944EAD">
        <w:rPr>
          <w:rFonts w:ascii="Times New Roman" w:hAnsi="Times New Roman" w:cs="Times New Roman"/>
          <w:lang w:val="en-NZ"/>
        </w:rPr>
        <w:t>reform: the Accident Compensation Act</w:t>
      </w:r>
      <w:r w:rsidR="00784D4E">
        <w:rPr>
          <w:rFonts w:ascii="Times New Roman" w:hAnsi="Times New Roman" w:cs="Times New Roman"/>
          <w:lang w:val="en-NZ"/>
        </w:rPr>
        <w:t>,</w:t>
      </w:r>
      <w:r w:rsidR="00784D4E">
        <w:rPr>
          <w:rStyle w:val="FootnoteReference"/>
          <w:rFonts w:ascii="Times New Roman" w:hAnsi="Times New Roman" w:cs="Times New Roman"/>
          <w:lang w:val="en-NZ"/>
        </w:rPr>
        <w:footnoteReference w:id="37"/>
      </w:r>
      <w:r w:rsidR="00784D4E">
        <w:rPr>
          <w:rFonts w:ascii="Times New Roman" w:hAnsi="Times New Roman" w:cs="Times New Roman"/>
          <w:lang w:val="en-NZ"/>
        </w:rPr>
        <w:t xml:space="preserve"> </w:t>
      </w:r>
      <w:r w:rsidR="00944EAD">
        <w:rPr>
          <w:rFonts w:ascii="Times New Roman" w:hAnsi="Times New Roman" w:cs="Times New Roman"/>
          <w:lang w:val="en-NZ"/>
        </w:rPr>
        <w:t>the Health and Safety at Work Ac</w:t>
      </w:r>
      <w:r w:rsidR="00784D4E">
        <w:rPr>
          <w:rFonts w:ascii="Times New Roman" w:hAnsi="Times New Roman" w:cs="Times New Roman"/>
          <w:lang w:val="en-NZ"/>
        </w:rPr>
        <w:t>t</w:t>
      </w:r>
      <w:r w:rsidR="006B23B6">
        <w:rPr>
          <w:rStyle w:val="FootnoteReference"/>
          <w:rFonts w:ascii="Times New Roman" w:hAnsi="Times New Roman" w:cs="Times New Roman"/>
          <w:lang w:val="en-NZ"/>
        </w:rPr>
        <w:footnoteReference w:id="38"/>
      </w:r>
      <w:r w:rsidR="00944EAD">
        <w:rPr>
          <w:rFonts w:ascii="Times New Roman" w:hAnsi="Times New Roman" w:cs="Times New Roman"/>
          <w:lang w:val="en-NZ"/>
        </w:rPr>
        <w:t xml:space="preserve"> and the Employment Relations Ac</w:t>
      </w:r>
      <w:r w:rsidR="00784D4E">
        <w:rPr>
          <w:rFonts w:ascii="Times New Roman" w:hAnsi="Times New Roman" w:cs="Times New Roman"/>
          <w:lang w:val="en-NZ"/>
        </w:rPr>
        <w:t>t.</w:t>
      </w:r>
      <w:r w:rsidR="006B23B6">
        <w:rPr>
          <w:rStyle w:val="FootnoteReference"/>
          <w:rFonts w:ascii="Times New Roman" w:hAnsi="Times New Roman" w:cs="Times New Roman"/>
          <w:lang w:val="en-NZ"/>
        </w:rPr>
        <w:footnoteReference w:id="39"/>
      </w:r>
      <w:r w:rsidR="00FD02DC">
        <w:rPr>
          <w:rFonts w:ascii="Times New Roman" w:hAnsi="Times New Roman" w:cs="Times New Roman"/>
          <w:lang w:val="en-NZ"/>
        </w:rPr>
        <w:t xml:space="preserve"> </w:t>
      </w:r>
      <w:r w:rsidR="00A4173F">
        <w:rPr>
          <w:rFonts w:ascii="Times New Roman" w:hAnsi="Times New Roman" w:cs="Times New Roman"/>
          <w:lang w:val="en-NZ"/>
        </w:rPr>
        <w:t xml:space="preserve">Current proposals by the Green Party for Accident Compensation Policy </w:t>
      </w:r>
      <w:r w:rsidR="008250A2">
        <w:rPr>
          <w:rFonts w:ascii="Times New Roman" w:hAnsi="Times New Roman" w:cs="Times New Roman"/>
          <w:lang w:val="en-NZ"/>
        </w:rPr>
        <w:t xml:space="preserve">reform </w:t>
      </w:r>
      <w:r w:rsidR="00BC4B9B">
        <w:rPr>
          <w:rFonts w:ascii="Times New Roman" w:hAnsi="Times New Roman" w:cs="Times New Roman"/>
          <w:lang w:val="en-NZ"/>
        </w:rPr>
        <w:t xml:space="preserve">reflect several gaps in the existing legislation that may be enhanced by amendment analogous with Convention 190 </w:t>
      </w:r>
      <w:r w:rsidR="00587AD4">
        <w:rPr>
          <w:rFonts w:ascii="Times New Roman" w:hAnsi="Times New Roman" w:cs="Times New Roman"/>
          <w:lang w:val="en-NZ"/>
        </w:rPr>
        <w:t>objectives.</w:t>
      </w:r>
      <w:r w:rsidR="00587AD4">
        <w:rPr>
          <w:rStyle w:val="FootnoteReference"/>
          <w:rFonts w:ascii="Times New Roman" w:hAnsi="Times New Roman" w:cs="Times New Roman"/>
          <w:lang w:val="en-NZ"/>
        </w:rPr>
        <w:footnoteReference w:id="40"/>
      </w:r>
      <w:r w:rsidR="00D6730A">
        <w:rPr>
          <w:rFonts w:ascii="Times New Roman" w:hAnsi="Times New Roman" w:cs="Times New Roman"/>
          <w:lang w:val="en-NZ"/>
        </w:rPr>
        <w:t xml:space="preserve"> For example, it is recommended that ACC law be broadened to restore cover to all people who suffer mental injury by accident, regardless of whether the injury occurred at work or whether there was physical injury as well.</w:t>
      </w:r>
      <w:r w:rsidR="00D6730A">
        <w:rPr>
          <w:rStyle w:val="FootnoteReference"/>
          <w:rFonts w:ascii="Times New Roman" w:hAnsi="Times New Roman" w:cs="Times New Roman"/>
          <w:lang w:val="en-NZ"/>
        </w:rPr>
        <w:footnoteReference w:id="41"/>
      </w:r>
      <w:r w:rsidR="00724F7B">
        <w:rPr>
          <w:rFonts w:ascii="Times New Roman" w:hAnsi="Times New Roman" w:cs="Times New Roman"/>
          <w:lang w:val="en-NZ"/>
        </w:rPr>
        <w:t xml:space="preserve"> This offers potential for ACC cover where incidents of violence and harassment occur in the world of work, as targeted by Convention 190, and have traumatic effects on the victim. </w:t>
      </w:r>
      <w:r w:rsidR="00163896">
        <w:rPr>
          <w:rFonts w:ascii="Times New Roman" w:hAnsi="Times New Roman" w:cs="Times New Roman"/>
          <w:lang w:val="en-NZ"/>
        </w:rPr>
        <w:t xml:space="preserve">Expanding the scope for personal injury further aligns with the </w:t>
      </w:r>
      <w:r w:rsidR="00EB3352">
        <w:rPr>
          <w:rFonts w:ascii="Times New Roman" w:hAnsi="Times New Roman" w:cs="Times New Roman"/>
          <w:lang w:val="en-NZ"/>
        </w:rPr>
        <w:t xml:space="preserve">Convention’s aspirations to tackle social factors driving abusive behaviour in the workforce. Where ACC ideology focuses on financial outcome and “the rapid exit of clients,” rather than the restoration of a claimant’s health and participation in the world of work, </w:t>
      </w:r>
      <w:r w:rsidR="00E46447">
        <w:rPr>
          <w:rFonts w:ascii="Times New Roman" w:hAnsi="Times New Roman" w:cs="Times New Roman"/>
          <w:lang w:val="en-NZ"/>
        </w:rPr>
        <w:t xml:space="preserve">there is a degree </w:t>
      </w:r>
      <w:r w:rsidR="00E46447">
        <w:rPr>
          <w:rFonts w:ascii="Times New Roman" w:hAnsi="Times New Roman" w:cs="Times New Roman"/>
          <w:lang w:val="en-NZ"/>
        </w:rPr>
        <w:lastRenderedPageBreak/>
        <w:t xml:space="preserve">of </w:t>
      </w:r>
      <w:r w:rsidR="00EB3352">
        <w:rPr>
          <w:rFonts w:ascii="Times New Roman" w:hAnsi="Times New Roman" w:cs="Times New Roman"/>
          <w:lang w:val="en-NZ"/>
        </w:rPr>
        <w:t xml:space="preserve">trust and security </w:t>
      </w:r>
      <w:r w:rsidR="00E46447">
        <w:rPr>
          <w:rFonts w:ascii="Times New Roman" w:hAnsi="Times New Roman" w:cs="Times New Roman"/>
          <w:lang w:val="en-NZ"/>
        </w:rPr>
        <w:t>lost in the workforce.</w:t>
      </w:r>
      <w:r w:rsidR="00E46447">
        <w:rPr>
          <w:rStyle w:val="FootnoteReference"/>
          <w:rFonts w:ascii="Times New Roman" w:hAnsi="Times New Roman" w:cs="Times New Roman"/>
          <w:lang w:val="en-NZ"/>
        </w:rPr>
        <w:footnoteReference w:id="42"/>
      </w:r>
      <w:r w:rsidR="00E46447">
        <w:rPr>
          <w:rFonts w:ascii="Times New Roman" w:hAnsi="Times New Roman" w:cs="Times New Roman"/>
          <w:lang w:val="en-NZ"/>
        </w:rPr>
        <w:t xml:space="preserve"> This may result in public discontent and initiate wider social movements that </w:t>
      </w:r>
      <w:r w:rsidR="00A754C7">
        <w:rPr>
          <w:rFonts w:ascii="Times New Roman" w:hAnsi="Times New Roman" w:cs="Times New Roman"/>
          <w:lang w:val="en-NZ"/>
        </w:rPr>
        <w:t xml:space="preserve">have the potential to </w:t>
      </w:r>
      <w:r w:rsidR="00E46447">
        <w:rPr>
          <w:rFonts w:ascii="Times New Roman" w:hAnsi="Times New Roman" w:cs="Times New Roman"/>
          <w:lang w:val="en-NZ"/>
        </w:rPr>
        <w:t>disrupt national employment flow</w:t>
      </w:r>
      <w:r w:rsidR="007F20BD">
        <w:rPr>
          <w:rFonts w:ascii="Times New Roman" w:hAnsi="Times New Roman" w:cs="Times New Roman"/>
          <w:lang w:val="en-NZ"/>
        </w:rPr>
        <w:t xml:space="preserve">s. Even at an individual level, </w:t>
      </w:r>
      <w:r w:rsidR="00F82D3E">
        <w:rPr>
          <w:rFonts w:ascii="Times New Roman" w:hAnsi="Times New Roman" w:cs="Times New Roman"/>
          <w:lang w:val="en-NZ"/>
        </w:rPr>
        <w:t xml:space="preserve">incidents of this nature have the potential to induce long-term trauma that will inevitably have negative impacts on both the individual and their employer. </w:t>
      </w:r>
    </w:p>
    <w:p w14:paraId="60A1DF15" w14:textId="5707DA6E" w:rsidR="00695979" w:rsidRDefault="00E55ACE" w:rsidP="00BF4463">
      <w:pPr>
        <w:spacing w:line="360" w:lineRule="auto"/>
        <w:ind w:right="-46"/>
        <w:jc w:val="both"/>
        <w:rPr>
          <w:rFonts w:ascii="Times New Roman" w:hAnsi="Times New Roman" w:cs="Times New Roman"/>
          <w:lang w:val="en-NZ"/>
        </w:rPr>
      </w:pPr>
      <w:r>
        <w:rPr>
          <w:rFonts w:ascii="Times New Roman" w:hAnsi="Times New Roman" w:cs="Times New Roman"/>
          <w:lang w:val="en-NZ"/>
        </w:rPr>
        <w:t>In pursuit o</w:t>
      </w:r>
      <w:r w:rsidR="009174F7">
        <w:rPr>
          <w:rFonts w:ascii="Times New Roman" w:hAnsi="Times New Roman" w:cs="Times New Roman"/>
          <w:lang w:val="en-NZ"/>
        </w:rPr>
        <w:t>f establishing</w:t>
      </w:r>
      <w:r>
        <w:rPr>
          <w:rFonts w:ascii="Times New Roman" w:hAnsi="Times New Roman" w:cs="Times New Roman"/>
          <w:lang w:val="en-NZ"/>
        </w:rPr>
        <w:t xml:space="preserve"> a </w:t>
      </w:r>
      <w:r w:rsidR="00341B93">
        <w:rPr>
          <w:rFonts w:ascii="Times New Roman" w:hAnsi="Times New Roman" w:cs="Times New Roman"/>
          <w:lang w:val="en-NZ"/>
        </w:rPr>
        <w:t>body</w:t>
      </w:r>
      <w:r>
        <w:rPr>
          <w:rFonts w:ascii="Times New Roman" w:hAnsi="Times New Roman" w:cs="Times New Roman"/>
          <w:lang w:val="en-NZ"/>
        </w:rPr>
        <w:t xml:space="preserve"> </w:t>
      </w:r>
      <w:r w:rsidR="00341B93">
        <w:rPr>
          <w:rFonts w:ascii="Times New Roman" w:hAnsi="Times New Roman" w:cs="Times New Roman"/>
          <w:lang w:val="en-NZ"/>
        </w:rPr>
        <w:t>f</w:t>
      </w:r>
      <w:r>
        <w:rPr>
          <w:rFonts w:ascii="Times New Roman" w:hAnsi="Times New Roman" w:cs="Times New Roman"/>
          <w:lang w:val="en-NZ"/>
        </w:rPr>
        <w:t xml:space="preserve">or complaints and dispute resolution </w:t>
      </w:r>
      <w:r w:rsidR="009174F7">
        <w:rPr>
          <w:rFonts w:ascii="Times New Roman" w:hAnsi="Times New Roman" w:cs="Times New Roman"/>
          <w:lang w:val="en-NZ"/>
        </w:rPr>
        <w:t>under Convention 190, it has been further recommended that ACC create an independent Ombudsman for the investigation of present and past abuses.</w:t>
      </w:r>
      <w:r w:rsidR="00341B93">
        <w:rPr>
          <w:rStyle w:val="FootnoteReference"/>
          <w:rFonts w:ascii="Times New Roman" w:hAnsi="Times New Roman" w:cs="Times New Roman"/>
          <w:lang w:val="en-NZ"/>
        </w:rPr>
        <w:footnoteReference w:id="43"/>
      </w:r>
      <w:r w:rsidR="009174F7">
        <w:rPr>
          <w:rFonts w:ascii="Times New Roman" w:hAnsi="Times New Roman" w:cs="Times New Roman"/>
          <w:lang w:val="en-NZ"/>
        </w:rPr>
        <w:t xml:space="preserve"> This reinforces the need for greater institutional oversight where incidents of violence and harassment occur in the world of work</w:t>
      </w:r>
      <w:r w:rsidR="0086245B">
        <w:rPr>
          <w:rFonts w:ascii="Times New Roman" w:hAnsi="Times New Roman" w:cs="Times New Roman"/>
          <w:lang w:val="en-NZ"/>
        </w:rPr>
        <w:t xml:space="preserve"> and provides an alternative complaints process in </w:t>
      </w:r>
      <w:r w:rsidR="00341B93">
        <w:rPr>
          <w:rFonts w:ascii="Times New Roman" w:hAnsi="Times New Roman" w:cs="Times New Roman"/>
          <w:lang w:val="en-NZ"/>
        </w:rPr>
        <w:t>situations</w:t>
      </w:r>
      <w:r w:rsidR="0086245B">
        <w:rPr>
          <w:rFonts w:ascii="Times New Roman" w:hAnsi="Times New Roman" w:cs="Times New Roman"/>
          <w:lang w:val="en-NZ"/>
        </w:rPr>
        <w:t xml:space="preserve"> where judicial decision-making is </w:t>
      </w:r>
      <w:r w:rsidR="00341B93">
        <w:rPr>
          <w:rFonts w:ascii="Times New Roman" w:hAnsi="Times New Roman" w:cs="Times New Roman"/>
          <w:lang w:val="en-NZ"/>
        </w:rPr>
        <w:t>less suitable.</w:t>
      </w:r>
      <w:r w:rsidR="00EC7E9A">
        <w:rPr>
          <w:rFonts w:ascii="Times New Roman" w:hAnsi="Times New Roman" w:cs="Times New Roman"/>
          <w:lang w:val="en-NZ"/>
        </w:rPr>
        <w:t xml:space="preserve"> </w:t>
      </w:r>
      <w:r w:rsidR="00484B79">
        <w:rPr>
          <w:rFonts w:ascii="Times New Roman" w:hAnsi="Times New Roman" w:cs="Times New Roman"/>
          <w:lang w:val="en-NZ"/>
        </w:rPr>
        <w:t>An ACC Ombudsman</w:t>
      </w:r>
      <w:r w:rsidR="00EC7E9A">
        <w:rPr>
          <w:rFonts w:ascii="Times New Roman" w:hAnsi="Times New Roman" w:cs="Times New Roman"/>
          <w:lang w:val="en-NZ"/>
        </w:rPr>
        <w:t xml:space="preserve"> </w:t>
      </w:r>
      <w:r w:rsidR="00484B79">
        <w:rPr>
          <w:rFonts w:ascii="Times New Roman" w:hAnsi="Times New Roman" w:cs="Times New Roman"/>
          <w:lang w:val="en-NZ"/>
        </w:rPr>
        <w:t>would operate under a mandate similar</w:t>
      </w:r>
      <w:r w:rsidR="00EC7E9A">
        <w:rPr>
          <w:rFonts w:ascii="Times New Roman" w:hAnsi="Times New Roman" w:cs="Times New Roman"/>
          <w:lang w:val="en-NZ"/>
        </w:rPr>
        <w:t xml:space="preserve"> </w:t>
      </w:r>
      <w:r w:rsidR="00484B79">
        <w:rPr>
          <w:rFonts w:ascii="Times New Roman" w:hAnsi="Times New Roman" w:cs="Times New Roman"/>
          <w:lang w:val="en-NZ"/>
        </w:rPr>
        <w:t>to that of the</w:t>
      </w:r>
      <w:r w:rsidR="00EC7E9A">
        <w:rPr>
          <w:rFonts w:ascii="Times New Roman" w:hAnsi="Times New Roman" w:cs="Times New Roman"/>
          <w:lang w:val="en-NZ"/>
        </w:rPr>
        <w:t xml:space="preserve"> Labour Inspectorate</w:t>
      </w:r>
      <w:r w:rsidR="003D7A5F">
        <w:rPr>
          <w:rFonts w:ascii="Times New Roman" w:hAnsi="Times New Roman" w:cs="Times New Roman"/>
          <w:lang w:val="en-NZ"/>
        </w:rPr>
        <w:t xml:space="preserve">. </w:t>
      </w:r>
      <w:r w:rsidR="00EC7E9A">
        <w:rPr>
          <w:rFonts w:ascii="Times New Roman" w:hAnsi="Times New Roman" w:cs="Times New Roman"/>
          <w:lang w:val="en-NZ"/>
        </w:rPr>
        <w:t xml:space="preserve">Where employers do not </w:t>
      </w:r>
      <w:r w:rsidR="00484B79">
        <w:rPr>
          <w:rFonts w:ascii="Times New Roman" w:hAnsi="Times New Roman" w:cs="Times New Roman"/>
          <w:lang w:val="en-NZ"/>
        </w:rPr>
        <w:t xml:space="preserve">implement obligations in line with Convention 190, for example </w:t>
      </w:r>
      <w:r w:rsidR="00EC7E9A">
        <w:rPr>
          <w:rFonts w:ascii="Times New Roman" w:hAnsi="Times New Roman" w:cs="Times New Roman"/>
          <w:lang w:val="en-NZ"/>
        </w:rPr>
        <w:t>facilitat</w:t>
      </w:r>
      <w:r w:rsidR="00484B79">
        <w:rPr>
          <w:rFonts w:ascii="Times New Roman" w:hAnsi="Times New Roman" w:cs="Times New Roman"/>
          <w:lang w:val="en-NZ"/>
        </w:rPr>
        <w:t>ing</w:t>
      </w:r>
      <w:r w:rsidR="00EC7E9A">
        <w:rPr>
          <w:rFonts w:ascii="Times New Roman" w:hAnsi="Times New Roman" w:cs="Times New Roman"/>
          <w:lang w:val="en-NZ"/>
        </w:rPr>
        <w:t xml:space="preserve"> traini</w:t>
      </w:r>
      <w:r w:rsidR="00484B79">
        <w:rPr>
          <w:rFonts w:ascii="Times New Roman" w:hAnsi="Times New Roman" w:cs="Times New Roman"/>
          <w:lang w:val="en-NZ"/>
        </w:rPr>
        <w:t xml:space="preserve">ng on </w:t>
      </w:r>
      <w:r w:rsidR="00EC7E9A">
        <w:rPr>
          <w:rFonts w:ascii="Times New Roman" w:hAnsi="Times New Roman" w:cs="Times New Roman"/>
          <w:lang w:val="en-NZ"/>
        </w:rPr>
        <w:t>employee rights</w:t>
      </w:r>
      <w:r w:rsidR="00484B79">
        <w:rPr>
          <w:rFonts w:ascii="Times New Roman" w:hAnsi="Times New Roman" w:cs="Times New Roman"/>
          <w:lang w:val="en-NZ"/>
        </w:rPr>
        <w:t xml:space="preserve"> in regard to </w:t>
      </w:r>
      <w:r w:rsidR="00EC7E9A">
        <w:rPr>
          <w:rFonts w:ascii="Times New Roman" w:hAnsi="Times New Roman" w:cs="Times New Roman"/>
          <w:lang w:val="en-NZ"/>
        </w:rPr>
        <w:t>domestic violenc</w:t>
      </w:r>
      <w:r w:rsidR="00484B79">
        <w:rPr>
          <w:rFonts w:ascii="Times New Roman" w:hAnsi="Times New Roman" w:cs="Times New Roman"/>
          <w:lang w:val="en-NZ"/>
        </w:rPr>
        <w:t>e, the</w:t>
      </w:r>
      <w:r w:rsidR="005513E1">
        <w:rPr>
          <w:rFonts w:ascii="Times New Roman" w:hAnsi="Times New Roman" w:cs="Times New Roman"/>
          <w:lang w:val="en-NZ"/>
        </w:rPr>
        <w:t xml:space="preserve">se figures </w:t>
      </w:r>
      <w:r w:rsidR="00325009">
        <w:rPr>
          <w:rFonts w:ascii="Times New Roman" w:hAnsi="Times New Roman" w:cs="Times New Roman"/>
          <w:lang w:val="en-NZ"/>
        </w:rPr>
        <w:t xml:space="preserve">must </w:t>
      </w:r>
      <w:r w:rsidR="005513E1">
        <w:rPr>
          <w:rFonts w:ascii="Times New Roman" w:hAnsi="Times New Roman" w:cs="Times New Roman"/>
          <w:lang w:val="en-NZ"/>
        </w:rPr>
        <w:t xml:space="preserve">provide </w:t>
      </w:r>
      <w:r w:rsidR="00325009">
        <w:rPr>
          <w:rFonts w:ascii="Times New Roman" w:hAnsi="Times New Roman" w:cs="Times New Roman"/>
          <w:lang w:val="en-NZ"/>
        </w:rPr>
        <w:t xml:space="preserve">accessible </w:t>
      </w:r>
      <w:r w:rsidR="005513E1">
        <w:rPr>
          <w:rFonts w:ascii="Times New Roman" w:hAnsi="Times New Roman" w:cs="Times New Roman"/>
          <w:lang w:val="en-NZ"/>
        </w:rPr>
        <w:t xml:space="preserve">support to employees to ensure compliance and accountability. </w:t>
      </w:r>
      <w:r w:rsidR="00754DCA">
        <w:rPr>
          <w:rFonts w:ascii="Times New Roman" w:hAnsi="Times New Roman" w:cs="Times New Roman"/>
          <w:lang w:val="en-NZ"/>
        </w:rPr>
        <w:t>This must also function to protect employees such as independent contractors, trainees and volunteers, who may not work under a strict employee-employer relationship, but are often excluded from labour law coverag</w:t>
      </w:r>
      <w:r w:rsidR="00CD0F3E">
        <w:rPr>
          <w:rFonts w:ascii="Times New Roman" w:hAnsi="Times New Roman" w:cs="Times New Roman"/>
          <w:lang w:val="en-NZ"/>
        </w:rPr>
        <w:t>e.</w:t>
      </w:r>
      <w:r w:rsidR="0002701D">
        <w:rPr>
          <w:rStyle w:val="FootnoteReference"/>
          <w:rFonts w:ascii="Times New Roman" w:hAnsi="Times New Roman" w:cs="Times New Roman"/>
          <w:lang w:val="en-NZ"/>
        </w:rPr>
        <w:footnoteReference w:id="44"/>
      </w:r>
      <w:r w:rsidR="00CD0F3E">
        <w:rPr>
          <w:rFonts w:ascii="Times New Roman" w:hAnsi="Times New Roman" w:cs="Times New Roman"/>
          <w:lang w:val="en-NZ"/>
        </w:rPr>
        <w:t xml:space="preserve"> Inclusivity is </w:t>
      </w:r>
      <w:r w:rsidR="0030713C">
        <w:rPr>
          <w:rFonts w:ascii="Times New Roman" w:hAnsi="Times New Roman" w:cs="Times New Roman"/>
          <w:lang w:val="en-NZ"/>
        </w:rPr>
        <w:t>a</w:t>
      </w:r>
      <w:r w:rsidR="00E80109">
        <w:rPr>
          <w:rFonts w:ascii="Times New Roman" w:hAnsi="Times New Roman" w:cs="Times New Roman"/>
          <w:lang w:val="en-NZ"/>
        </w:rPr>
        <w:t>n underpinning</w:t>
      </w:r>
      <w:r w:rsidR="0030713C">
        <w:rPr>
          <w:rFonts w:ascii="Times New Roman" w:hAnsi="Times New Roman" w:cs="Times New Roman"/>
          <w:lang w:val="en-NZ"/>
        </w:rPr>
        <w:t xml:space="preserve"> </w:t>
      </w:r>
      <w:r w:rsidR="00CD0F3E">
        <w:rPr>
          <w:rFonts w:ascii="Times New Roman" w:hAnsi="Times New Roman" w:cs="Times New Roman"/>
          <w:lang w:val="en-NZ"/>
        </w:rPr>
        <w:t>consideration in Convention 190 implementation, given it</w:t>
      </w:r>
      <w:r w:rsidR="0030713C">
        <w:rPr>
          <w:rFonts w:ascii="Times New Roman" w:hAnsi="Times New Roman" w:cs="Times New Roman"/>
          <w:lang w:val="en-NZ"/>
        </w:rPr>
        <w:t xml:space="preserve">s </w:t>
      </w:r>
      <w:r w:rsidR="00CD0F3E">
        <w:rPr>
          <w:rFonts w:ascii="Times New Roman" w:hAnsi="Times New Roman" w:cs="Times New Roman"/>
          <w:lang w:val="en-NZ"/>
        </w:rPr>
        <w:t xml:space="preserve">emphasis on </w:t>
      </w:r>
      <w:r w:rsidR="00947848">
        <w:rPr>
          <w:rFonts w:ascii="Times New Roman" w:hAnsi="Times New Roman" w:cs="Times New Roman"/>
          <w:lang w:val="en-NZ"/>
        </w:rPr>
        <w:t xml:space="preserve">improving </w:t>
      </w:r>
      <w:r w:rsidR="0030713C">
        <w:rPr>
          <w:rFonts w:ascii="Times New Roman" w:hAnsi="Times New Roman" w:cs="Times New Roman"/>
          <w:lang w:val="en-NZ"/>
        </w:rPr>
        <w:t xml:space="preserve">behaviour in </w:t>
      </w:r>
      <w:r w:rsidR="00487BD1">
        <w:rPr>
          <w:rFonts w:ascii="Times New Roman" w:hAnsi="Times New Roman" w:cs="Times New Roman"/>
          <w:lang w:val="en-NZ"/>
        </w:rPr>
        <w:t>a</w:t>
      </w:r>
      <w:r w:rsidR="0030713C">
        <w:rPr>
          <w:rFonts w:ascii="Times New Roman" w:hAnsi="Times New Roman" w:cs="Times New Roman"/>
          <w:lang w:val="en-NZ"/>
        </w:rPr>
        <w:t xml:space="preserve"> widened ‘world of work’ setting. </w:t>
      </w:r>
      <w:r w:rsidR="0007059E">
        <w:rPr>
          <w:rFonts w:ascii="Times New Roman" w:hAnsi="Times New Roman" w:cs="Times New Roman"/>
          <w:lang w:val="en-NZ"/>
        </w:rPr>
        <w:t>Thus, the development of policy must involve discussion that specifically addresses work arrangements outside the conventional settings for employment contracts and workplaces</w:t>
      </w:r>
      <w:r w:rsidR="00435D93">
        <w:rPr>
          <w:rFonts w:ascii="Times New Roman" w:hAnsi="Times New Roman" w:cs="Times New Roman"/>
          <w:lang w:val="en-NZ"/>
        </w:rPr>
        <w:t>. This feeds into the collaborative role that WorkSafe must have in monitoring and enhancing regulat</w:t>
      </w:r>
      <w:r w:rsidR="00A57ED3">
        <w:rPr>
          <w:rFonts w:ascii="Times New Roman" w:hAnsi="Times New Roman" w:cs="Times New Roman"/>
          <w:lang w:val="en-NZ"/>
        </w:rPr>
        <w:t>ory operations</w:t>
      </w:r>
      <w:r w:rsidR="00435D93">
        <w:rPr>
          <w:rFonts w:ascii="Times New Roman" w:hAnsi="Times New Roman" w:cs="Times New Roman"/>
          <w:lang w:val="en-NZ"/>
        </w:rPr>
        <w:t xml:space="preserve"> of the Health and Safety at Work Act. </w:t>
      </w:r>
      <w:r w:rsidR="009C2B96">
        <w:rPr>
          <w:rFonts w:ascii="Times New Roman" w:hAnsi="Times New Roman" w:cs="Times New Roman"/>
          <w:lang w:val="en-NZ"/>
        </w:rPr>
        <w:t xml:space="preserve">There is a significant </w:t>
      </w:r>
      <w:r w:rsidR="00783162">
        <w:rPr>
          <w:rFonts w:ascii="Times New Roman" w:hAnsi="Times New Roman" w:cs="Times New Roman"/>
          <w:lang w:val="en-NZ"/>
        </w:rPr>
        <w:t>correlation</w:t>
      </w:r>
      <w:r w:rsidR="009C2B96">
        <w:rPr>
          <w:rFonts w:ascii="Times New Roman" w:hAnsi="Times New Roman" w:cs="Times New Roman"/>
          <w:lang w:val="en-NZ"/>
        </w:rPr>
        <w:t xml:space="preserve"> between the hazardous work environments that this legislation regulates and the surveying of workplace </w:t>
      </w:r>
      <w:r w:rsidR="00783162">
        <w:rPr>
          <w:rFonts w:ascii="Times New Roman" w:hAnsi="Times New Roman" w:cs="Times New Roman"/>
          <w:lang w:val="en-NZ"/>
        </w:rPr>
        <w:t xml:space="preserve">harassment that WorkSafe conducts. </w:t>
      </w:r>
      <w:r w:rsidR="00662012">
        <w:rPr>
          <w:rFonts w:ascii="Times New Roman" w:hAnsi="Times New Roman" w:cs="Times New Roman"/>
          <w:lang w:val="en-NZ"/>
        </w:rPr>
        <w:t xml:space="preserve">The </w:t>
      </w:r>
      <w:r w:rsidR="00A702A2">
        <w:rPr>
          <w:rFonts w:ascii="Times New Roman" w:hAnsi="Times New Roman" w:cs="Times New Roman"/>
          <w:lang w:val="en-NZ"/>
        </w:rPr>
        <w:t xml:space="preserve">harsh </w:t>
      </w:r>
      <w:r w:rsidR="005544F5">
        <w:rPr>
          <w:rFonts w:ascii="Times New Roman" w:hAnsi="Times New Roman" w:cs="Times New Roman"/>
          <w:lang w:val="en-NZ"/>
        </w:rPr>
        <w:t xml:space="preserve">difference between 19.5% of </w:t>
      </w:r>
      <w:r w:rsidR="00A702A2">
        <w:rPr>
          <w:rFonts w:ascii="Times New Roman" w:hAnsi="Times New Roman" w:cs="Times New Roman"/>
          <w:lang w:val="en-NZ"/>
        </w:rPr>
        <w:t>female machinery operators having experienced workplace discrimination versus 7.9% of their male counterparts</w:t>
      </w:r>
      <w:r w:rsidR="005544F5">
        <w:rPr>
          <w:rFonts w:ascii="Times New Roman" w:hAnsi="Times New Roman" w:cs="Times New Roman"/>
          <w:lang w:val="en-NZ"/>
        </w:rPr>
        <w:t xml:space="preserve"> </w:t>
      </w:r>
      <w:r w:rsidR="00A702A2">
        <w:rPr>
          <w:rFonts w:ascii="Times New Roman" w:hAnsi="Times New Roman" w:cs="Times New Roman"/>
          <w:lang w:val="en-NZ"/>
        </w:rPr>
        <w:t xml:space="preserve">in the previously discussed 2018 Stats NZ report reflects a culture </w:t>
      </w:r>
      <w:r w:rsidR="00476851">
        <w:rPr>
          <w:rFonts w:ascii="Times New Roman" w:hAnsi="Times New Roman" w:cs="Times New Roman"/>
          <w:lang w:val="en-NZ"/>
        </w:rPr>
        <w:t xml:space="preserve">of gender bias in </w:t>
      </w:r>
      <w:r w:rsidR="00A57ED3">
        <w:rPr>
          <w:rFonts w:ascii="Times New Roman" w:hAnsi="Times New Roman" w:cs="Times New Roman"/>
          <w:lang w:val="en-NZ"/>
        </w:rPr>
        <w:t xml:space="preserve">physically </w:t>
      </w:r>
      <w:r w:rsidR="00476851">
        <w:rPr>
          <w:rFonts w:ascii="Times New Roman" w:hAnsi="Times New Roman" w:cs="Times New Roman"/>
          <w:lang w:val="en-NZ"/>
        </w:rPr>
        <w:t>dangerous industries.</w:t>
      </w:r>
      <w:r w:rsidR="005623FD">
        <w:rPr>
          <w:rStyle w:val="FootnoteReference"/>
          <w:rFonts w:ascii="Times New Roman" w:hAnsi="Times New Roman" w:cs="Times New Roman"/>
          <w:lang w:val="en-NZ"/>
        </w:rPr>
        <w:footnoteReference w:id="45"/>
      </w:r>
      <w:r w:rsidR="00476851">
        <w:rPr>
          <w:rFonts w:ascii="Times New Roman" w:hAnsi="Times New Roman" w:cs="Times New Roman"/>
          <w:lang w:val="en-NZ"/>
        </w:rPr>
        <w:t xml:space="preserve"> </w:t>
      </w:r>
      <w:r w:rsidR="005623FD">
        <w:rPr>
          <w:rFonts w:ascii="Times New Roman" w:hAnsi="Times New Roman" w:cs="Times New Roman"/>
          <w:lang w:val="en-NZ"/>
        </w:rPr>
        <w:t xml:space="preserve">The Health and Safety at Work Act could be amended to outline PCBU </w:t>
      </w:r>
      <w:r w:rsidR="00E2764C">
        <w:rPr>
          <w:rFonts w:ascii="Times New Roman" w:hAnsi="Times New Roman" w:cs="Times New Roman"/>
          <w:lang w:val="en-NZ"/>
        </w:rPr>
        <w:t xml:space="preserve">(person conducting a business or undertaking) </w:t>
      </w:r>
      <w:r w:rsidR="00507FC0">
        <w:rPr>
          <w:rFonts w:ascii="Times New Roman" w:hAnsi="Times New Roman" w:cs="Times New Roman"/>
          <w:lang w:val="en-NZ"/>
        </w:rPr>
        <w:t>d</w:t>
      </w:r>
      <w:r w:rsidR="005623FD">
        <w:rPr>
          <w:rFonts w:ascii="Times New Roman" w:hAnsi="Times New Roman" w:cs="Times New Roman"/>
          <w:lang w:val="en-NZ"/>
        </w:rPr>
        <w:t xml:space="preserve">uties </w:t>
      </w:r>
      <w:r w:rsidR="00507FC0">
        <w:rPr>
          <w:rFonts w:ascii="Times New Roman" w:hAnsi="Times New Roman" w:cs="Times New Roman"/>
          <w:lang w:val="en-NZ"/>
        </w:rPr>
        <w:t xml:space="preserve">of care </w:t>
      </w:r>
      <w:r w:rsidR="00A57ED3">
        <w:rPr>
          <w:rFonts w:ascii="Times New Roman" w:hAnsi="Times New Roman" w:cs="Times New Roman"/>
          <w:lang w:val="en-NZ"/>
        </w:rPr>
        <w:t xml:space="preserve">for </w:t>
      </w:r>
      <w:r w:rsidR="005B5F53">
        <w:rPr>
          <w:rFonts w:ascii="Times New Roman" w:hAnsi="Times New Roman" w:cs="Times New Roman"/>
          <w:lang w:val="en-NZ"/>
        </w:rPr>
        <w:t xml:space="preserve">monitoring and reporting processes </w:t>
      </w:r>
      <w:r w:rsidR="00A57ED3">
        <w:rPr>
          <w:rFonts w:ascii="Times New Roman" w:hAnsi="Times New Roman" w:cs="Times New Roman"/>
          <w:lang w:val="en-NZ"/>
        </w:rPr>
        <w:t xml:space="preserve">that </w:t>
      </w:r>
      <w:r w:rsidR="00507FC0">
        <w:rPr>
          <w:rFonts w:ascii="Times New Roman" w:hAnsi="Times New Roman" w:cs="Times New Roman"/>
          <w:lang w:val="en-NZ"/>
        </w:rPr>
        <w:t>target</w:t>
      </w:r>
      <w:r w:rsidR="00D50BCE">
        <w:rPr>
          <w:rFonts w:ascii="Times New Roman" w:hAnsi="Times New Roman" w:cs="Times New Roman"/>
          <w:lang w:val="en-NZ"/>
        </w:rPr>
        <w:t xml:space="preserve"> discriminative workplace behaviour on the basis of gender.</w:t>
      </w:r>
      <w:r w:rsidR="00D50BCE">
        <w:rPr>
          <w:rStyle w:val="FootnoteReference"/>
          <w:rFonts w:ascii="Times New Roman" w:hAnsi="Times New Roman" w:cs="Times New Roman"/>
          <w:lang w:val="en-NZ"/>
        </w:rPr>
        <w:footnoteReference w:id="46"/>
      </w:r>
      <w:r w:rsidR="00507FC0">
        <w:rPr>
          <w:rFonts w:ascii="Times New Roman" w:hAnsi="Times New Roman" w:cs="Times New Roman"/>
          <w:lang w:val="en-NZ"/>
        </w:rPr>
        <w:t xml:space="preserve"> </w:t>
      </w:r>
      <w:r w:rsidR="00390005">
        <w:rPr>
          <w:rFonts w:ascii="Times New Roman" w:hAnsi="Times New Roman" w:cs="Times New Roman"/>
          <w:lang w:val="en-NZ"/>
        </w:rPr>
        <w:t>This would ensure that both mental and physical safety are prioritised in hazardous working environments.</w:t>
      </w:r>
      <w:r w:rsidR="00AA2FC0">
        <w:rPr>
          <w:rFonts w:ascii="Times New Roman" w:hAnsi="Times New Roman" w:cs="Times New Roman"/>
          <w:lang w:val="en-NZ"/>
        </w:rPr>
        <w:t xml:space="preserve"> </w:t>
      </w:r>
    </w:p>
    <w:p w14:paraId="0F6B89D4" w14:textId="19FD52FC" w:rsidR="00695979" w:rsidRDefault="00AA2FC0" w:rsidP="00BF4463">
      <w:pPr>
        <w:spacing w:line="360" w:lineRule="auto"/>
        <w:ind w:right="-46"/>
        <w:jc w:val="both"/>
        <w:rPr>
          <w:rFonts w:ascii="Times New Roman" w:hAnsi="Times New Roman" w:cs="Times New Roman"/>
          <w:lang w:val="en-NZ"/>
        </w:rPr>
      </w:pPr>
      <w:r>
        <w:rPr>
          <w:rFonts w:ascii="Times New Roman" w:hAnsi="Times New Roman" w:cs="Times New Roman"/>
          <w:lang w:val="en-NZ"/>
        </w:rPr>
        <w:lastRenderedPageBreak/>
        <w:t>In addition, prosecution processes under the Health and Safety at Work Act require WorkSafe to prove</w:t>
      </w:r>
      <w:r w:rsidR="002E652A">
        <w:rPr>
          <w:rFonts w:ascii="Times New Roman" w:hAnsi="Times New Roman" w:cs="Times New Roman"/>
          <w:lang w:val="en-NZ"/>
        </w:rPr>
        <w:t xml:space="preserve"> that incidents resulting in harm are the result of a failure to exercise due diligence beyond reasonable doubt and prosecution of the incident is a matter of public interest.</w:t>
      </w:r>
      <w:r w:rsidR="002E652A">
        <w:rPr>
          <w:rStyle w:val="FootnoteReference"/>
          <w:rFonts w:ascii="Times New Roman" w:hAnsi="Times New Roman" w:cs="Times New Roman"/>
          <w:lang w:val="en-NZ"/>
        </w:rPr>
        <w:footnoteReference w:id="47"/>
      </w:r>
      <w:r>
        <w:rPr>
          <w:rFonts w:ascii="Times New Roman" w:hAnsi="Times New Roman" w:cs="Times New Roman"/>
          <w:lang w:val="en-NZ"/>
        </w:rPr>
        <w:t xml:space="preserve"> T</w:t>
      </w:r>
      <w:r w:rsidR="00EC3407">
        <w:rPr>
          <w:rFonts w:ascii="Times New Roman" w:hAnsi="Times New Roman" w:cs="Times New Roman"/>
          <w:lang w:val="en-NZ"/>
        </w:rPr>
        <w:t>hese standards create procedural hurdles</w:t>
      </w:r>
      <w:r w:rsidR="000028BB">
        <w:rPr>
          <w:rFonts w:ascii="Times New Roman" w:hAnsi="Times New Roman" w:cs="Times New Roman"/>
          <w:lang w:val="en-NZ"/>
        </w:rPr>
        <w:t>,</w:t>
      </w:r>
      <w:r w:rsidR="00EC3407">
        <w:rPr>
          <w:rFonts w:ascii="Times New Roman" w:hAnsi="Times New Roman" w:cs="Times New Roman"/>
          <w:lang w:val="en-NZ"/>
        </w:rPr>
        <w:t xml:space="preserve"> that may </w:t>
      </w:r>
      <w:r w:rsidR="000028BB">
        <w:rPr>
          <w:rFonts w:ascii="Times New Roman" w:hAnsi="Times New Roman" w:cs="Times New Roman"/>
          <w:lang w:val="en-NZ"/>
        </w:rPr>
        <w:t xml:space="preserve">further exaggerated where the harm is of a mental nature and rooted in gender inequalities. Thus, </w:t>
      </w:r>
      <w:r w:rsidR="00EC3407">
        <w:rPr>
          <w:rFonts w:ascii="Times New Roman" w:hAnsi="Times New Roman" w:cs="Times New Roman"/>
          <w:lang w:val="en-NZ"/>
        </w:rPr>
        <w:t xml:space="preserve">the establishment of a </w:t>
      </w:r>
      <w:r w:rsidR="000028BB">
        <w:rPr>
          <w:rFonts w:ascii="Times New Roman" w:hAnsi="Times New Roman" w:cs="Times New Roman"/>
          <w:lang w:val="en-NZ"/>
        </w:rPr>
        <w:t xml:space="preserve">gender-considerate </w:t>
      </w:r>
      <w:r w:rsidR="00EC3407">
        <w:rPr>
          <w:rFonts w:ascii="Times New Roman" w:hAnsi="Times New Roman" w:cs="Times New Roman"/>
          <w:lang w:val="en-NZ"/>
        </w:rPr>
        <w:t>complaints body</w:t>
      </w:r>
      <w:r w:rsidR="000028BB">
        <w:rPr>
          <w:rFonts w:ascii="Times New Roman" w:hAnsi="Times New Roman" w:cs="Times New Roman"/>
          <w:lang w:val="en-NZ"/>
        </w:rPr>
        <w:t xml:space="preserve"> that is</w:t>
      </w:r>
      <w:r w:rsidR="00EC3407">
        <w:rPr>
          <w:rFonts w:ascii="Times New Roman" w:hAnsi="Times New Roman" w:cs="Times New Roman"/>
          <w:lang w:val="en-NZ"/>
        </w:rPr>
        <w:t xml:space="preserve"> </w:t>
      </w:r>
      <w:r w:rsidR="000028BB">
        <w:rPr>
          <w:rFonts w:ascii="Times New Roman" w:hAnsi="Times New Roman" w:cs="Times New Roman"/>
          <w:lang w:val="en-NZ"/>
        </w:rPr>
        <w:t xml:space="preserve">more </w:t>
      </w:r>
      <w:r w:rsidR="00EC3407">
        <w:rPr>
          <w:rFonts w:ascii="Times New Roman" w:hAnsi="Times New Roman" w:cs="Times New Roman"/>
          <w:lang w:val="en-NZ"/>
        </w:rPr>
        <w:t xml:space="preserve">accessible and can </w:t>
      </w:r>
      <w:r w:rsidR="000028BB">
        <w:rPr>
          <w:rFonts w:ascii="Times New Roman" w:hAnsi="Times New Roman" w:cs="Times New Roman"/>
          <w:lang w:val="en-NZ"/>
        </w:rPr>
        <w:t>take action</w:t>
      </w:r>
      <w:r w:rsidR="00EC3407">
        <w:rPr>
          <w:rFonts w:ascii="Times New Roman" w:hAnsi="Times New Roman" w:cs="Times New Roman"/>
          <w:lang w:val="en-NZ"/>
        </w:rPr>
        <w:t xml:space="preserve"> </w:t>
      </w:r>
      <w:r w:rsidR="000028BB">
        <w:rPr>
          <w:rFonts w:ascii="Times New Roman" w:hAnsi="Times New Roman" w:cs="Times New Roman"/>
          <w:lang w:val="en-NZ"/>
        </w:rPr>
        <w:t xml:space="preserve">without the high thresholds required for WorkSafe prosecutions </w:t>
      </w:r>
      <w:r w:rsidR="00253F3A">
        <w:rPr>
          <w:rFonts w:ascii="Times New Roman" w:hAnsi="Times New Roman" w:cs="Times New Roman"/>
          <w:lang w:val="en-NZ"/>
        </w:rPr>
        <w:t xml:space="preserve">would help to </w:t>
      </w:r>
      <w:r w:rsidR="000028BB">
        <w:rPr>
          <w:rFonts w:ascii="Times New Roman" w:hAnsi="Times New Roman" w:cs="Times New Roman"/>
          <w:lang w:val="en-NZ"/>
        </w:rPr>
        <w:t>remedy discriminative behaviour in hazardous work</w:t>
      </w:r>
      <w:r w:rsidR="00616736">
        <w:rPr>
          <w:rFonts w:ascii="Times New Roman" w:hAnsi="Times New Roman" w:cs="Times New Roman"/>
          <w:lang w:val="en-NZ"/>
        </w:rPr>
        <w:t>ing</w:t>
      </w:r>
      <w:r w:rsidR="000028BB">
        <w:rPr>
          <w:rFonts w:ascii="Times New Roman" w:hAnsi="Times New Roman" w:cs="Times New Roman"/>
          <w:lang w:val="en-NZ"/>
        </w:rPr>
        <w:t xml:space="preserve"> environments.</w:t>
      </w:r>
      <w:r w:rsidR="00FA4A86">
        <w:rPr>
          <w:rFonts w:ascii="Times New Roman" w:hAnsi="Times New Roman" w:cs="Times New Roman"/>
          <w:lang w:val="en-NZ"/>
        </w:rPr>
        <w:t xml:space="preserve"> The Minister for Workplace Relations and Safety may discuss these amendments in collaboration with WorkSafe, to produce a Health and Safety at Work Strategy that is more reflective of Convention 190’s </w:t>
      </w:r>
      <w:r w:rsidR="00EB6891">
        <w:rPr>
          <w:rFonts w:ascii="Times New Roman" w:hAnsi="Times New Roman" w:cs="Times New Roman"/>
          <w:lang w:val="en-NZ"/>
        </w:rPr>
        <w:t>objectives</w:t>
      </w:r>
      <w:r w:rsidR="00FA4A86">
        <w:rPr>
          <w:rFonts w:ascii="Times New Roman" w:hAnsi="Times New Roman" w:cs="Times New Roman"/>
          <w:lang w:val="en-NZ"/>
        </w:rPr>
        <w:t>.</w:t>
      </w:r>
      <w:r w:rsidR="00FA4A86">
        <w:rPr>
          <w:rStyle w:val="FootnoteReference"/>
          <w:rFonts w:ascii="Times New Roman" w:hAnsi="Times New Roman" w:cs="Times New Roman"/>
          <w:lang w:val="en-NZ"/>
        </w:rPr>
        <w:footnoteReference w:id="48"/>
      </w:r>
    </w:p>
    <w:p w14:paraId="18969EA4" w14:textId="65FEB160" w:rsidR="00577521" w:rsidRDefault="00577521" w:rsidP="00BF4463">
      <w:pPr>
        <w:spacing w:line="360" w:lineRule="auto"/>
        <w:ind w:right="-46"/>
        <w:jc w:val="both"/>
        <w:rPr>
          <w:rFonts w:ascii="Times New Roman" w:hAnsi="Times New Roman" w:cs="Times New Roman"/>
          <w:lang w:val="en-NZ"/>
        </w:rPr>
      </w:pPr>
      <w:r>
        <w:rPr>
          <w:rFonts w:ascii="Times New Roman" w:hAnsi="Times New Roman" w:cs="Times New Roman"/>
          <w:lang w:val="en-NZ"/>
        </w:rPr>
        <w:t>Finally, the Employment Relations Act may be amended to address the driving causes of violence and harassment in the workplace, in accordance with Convention 190.</w:t>
      </w:r>
      <w:r w:rsidR="00052DAF">
        <w:rPr>
          <w:rStyle w:val="FootnoteReference"/>
          <w:rFonts w:ascii="Times New Roman" w:hAnsi="Times New Roman" w:cs="Times New Roman"/>
          <w:lang w:val="en-NZ"/>
        </w:rPr>
        <w:footnoteReference w:id="49"/>
      </w:r>
      <w:r>
        <w:rPr>
          <w:rFonts w:ascii="Times New Roman" w:hAnsi="Times New Roman" w:cs="Times New Roman"/>
          <w:lang w:val="en-NZ"/>
        </w:rPr>
        <w:t xml:space="preserve"> </w:t>
      </w:r>
      <w:r w:rsidR="00052DAF">
        <w:rPr>
          <w:rFonts w:ascii="Times New Roman" w:hAnsi="Times New Roman" w:cs="Times New Roman"/>
          <w:lang w:val="en-NZ"/>
        </w:rPr>
        <w:t xml:space="preserve">Pursuant to </w:t>
      </w:r>
      <w:r w:rsidR="007221B2">
        <w:rPr>
          <w:rFonts w:ascii="Times New Roman" w:hAnsi="Times New Roman" w:cs="Times New Roman"/>
          <w:lang w:val="en-NZ"/>
        </w:rPr>
        <w:t xml:space="preserve">Part </w:t>
      </w:r>
      <w:r w:rsidR="00B76819">
        <w:rPr>
          <w:rFonts w:ascii="Times New Roman" w:hAnsi="Times New Roman" w:cs="Times New Roman"/>
          <w:lang w:val="en-NZ"/>
        </w:rPr>
        <w:t>6</w:t>
      </w:r>
      <w:r w:rsidR="007221B2">
        <w:rPr>
          <w:rFonts w:ascii="Times New Roman" w:hAnsi="Times New Roman" w:cs="Times New Roman"/>
          <w:lang w:val="en-NZ"/>
        </w:rPr>
        <w:t>A of the legislation</w:t>
      </w:r>
      <w:r w:rsidR="00B76819">
        <w:rPr>
          <w:rFonts w:ascii="Times New Roman" w:hAnsi="Times New Roman" w:cs="Times New Roman"/>
          <w:lang w:val="en-NZ"/>
        </w:rPr>
        <w:t xml:space="preserve">, </w:t>
      </w:r>
      <w:r w:rsidR="0027012B">
        <w:rPr>
          <w:rFonts w:ascii="Times New Roman" w:hAnsi="Times New Roman" w:cs="Times New Roman"/>
          <w:lang w:val="en-NZ"/>
        </w:rPr>
        <w:t xml:space="preserve">vulnerable industry employees </w:t>
      </w:r>
      <w:r w:rsidR="00076428">
        <w:rPr>
          <w:rFonts w:ascii="Times New Roman" w:hAnsi="Times New Roman" w:cs="Times New Roman"/>
          <w:lang w:val="en-NZ"/>
        </w:rPr>
        <w:t xml:space="preserve">are entitled to transfer their </w:t>
      </w:r>
      <w:r w:rsidR="007934EB">
        <w:rPr>
          <w:rFonts w:ascii="Times New Roman" w:hAnsi="Times New Roman" w:cs="Times New Roman"/>
          <w:lang w:val="en-NZ"/>
        </w:rPr>
        <w:t>contract terms and conditions to a new employer in cases where they are put out of work due to proposed restructuring.</w:t>
      </w:r>
      <w:r w:rsidR="007934EB">
        <w:rPr>
          <w:rStyle w:val="FootnoteReference"/>
          <w:rFonts w:ascii="Times New Roman" w:hAnsi="Times New Roman" w:cs="Times New Roman"/>
          <w:lang w:val="en-NZ"/>
        </w:rPr>
        <w:footnoteReference w:id="50"/>
      </w:r>
      <w:r w:rsidR="007934EB">
        <w:rPr>
          <w:rFonts w:ascii="Times New Roman" w:hAnsi="Times New Roman" w:cs="Times New Roman"/>
          <w:lang w:val="en-NZ"/>
        </w:rPr>
        <w:t xml:space="preserve"> Currently, these industries include </w:t>
      </w:r>
      <w:r w:rsidR="000F3BFC">
        <w:rPr>
          <w:rFonts w:ascii="Times New Roman" w:hAnsi="Times New Roman" w:cs="Times New Roman"/>
          <w:lang w:val="en-NZ"/>
        </w:rPr>
        <w:t xml:space="preserve">cleaning services, food catering services, caretaking, laundry services </w:t>
      </w:r>
      <w:r w:rsidR="00A4770E">
        <w:rPr>
          <w:rFonts w:ascii="Times New Roman" w:hAnsi="Times New Roman" w:cs="Times New Roman"/>
          <w:lang w:val="en-NZ"/>
        </w:rPr>
        <w:t>and certain services in the security sector.</w:t>
      </w:r>
      <w:r w:rsidR="000A415F">
        <w:rPr>
          <w:rStyle w:val="FootnoteReference"/>
          <w:rFonts w:ascii="Times New Roman" w:hAnsi="Times New Roman" w:cs="Times New Roman"/>
          <w:lang w:val="en-NZ"/>
        </w:rPr>
        <w:footnoteReference w:id="51"/>
      </w:r>
      <w:r w:rsidR="000A415F">
        <w:rPr>
          <w:rFonts w:ascii="Times New Roman" w:hAnsi="Times New Roman" w:cs="Times New Roman"/>
          <w:lang w:val="en-NZ"/>
        </w:rPr>
        <w:t xml:space="preserve"> </w:t>
      </w:r>
      <w:r w:rsidR="00AF32A0">
        <w:rPr>
          <w:rFonts w:ascii="Times New Roman" w:hAnsi="Times New Roman" w:cs="Times New Roman"/>
          <w:lang w:val="en-NZ"/>
        </w:rPr>
        <w:t xml:space="preserve">In accordance with the broader scope of Convention 190, this may be amended to </w:t>
      </w:r>
      <w:r w:rsidR="00921F98">
        <w:rPr>
          <w:rFonts w:ascii="Times New Roman" w:hAnsi="Times New Roman" w:cs="Times New Roman"/>
          <w:lang w:val="en-NZ"/>
        </w:rPr>
        <w:t xml:space="preserve">additionally </w:t>
      </w:r>
      <w:r w:rsidR="00AF32A0">
        <w:rPr>
          <w:rFonts w:ascii="Times New Roman" w:hAnsi="Times New Roman" w:cs="Times New Roman"/>
          <w:lang w:val="en-NZ"/>
        </w:rPr>
        <w:t>include immigrant workers and those wi</w:t>
      </w:r>
      <w:r w:rsidR="00921F98">
        <w:rPr>
          <w:rFonts w:ascii="Times New Roman" w:hAnsi="Times New Roman" w:cs="Times New Roman"/>
          <w:lang w:val="en-NZ"/>
        </w:rPr>
        <w:t>th</w:t>
      </w:r>
      <w:r w:rsidR="00CD1517">
        <w:rPr>
          <w:rFonts w:ascii="Times New Roman" w:hAnsi="Times New Roman" w:cs="Times New Roman"/>
          <w:lang w:val="en-NZ"/>
        </w:rPr>
        <w:t xml:space="preserve"> un</w:t>
      </w:r>
      <w:r w:rsidR="00921F98">
        <w:rPr>
          <w:rFonts w:ascii="Times New Roman" w:hAnsi="Times New Roman" w:cs="Times New Roman"/>
          <w:lang w:val="en-NZ"/>
        </w:rPr>
        <w:t>conventional contractual status</w:t>
      </w:r>
      <w:r w:rsidR="00AF32A0">
        <w:rPr>
          <w:rFonts w:ascii="Times New Roman" w:hAnsi="Times New Roman" w:cs="Times New Roman"/>
          <w:lang w:val="en-NZ"/>
        </w:rPr>
        <w:t xml:space="preserve">, such as </w:t>
      </w:r>
      <w:r w:rsidR="00921F98">
        <w:rPr>
          <w:rFonts w:ascii="Times New Roman" w:hAnsi="Times New Roman" w:cs="Times New Roman"/>
          <w:lang w:val="en-NZ"/>
        </w:rPr>
        <w:t>volunteers, interns and apprentices.</w:t>
      </w:r>
      <w:r w:rsidR="007F21ED">
        <w:rPr>
          <w:rFonts w:ascii="Times New Roman" w:hAnsi="Times New Roman" w:cs="Times New Roman"/>
          <w:lang w:val="en-NZ"/>
        </w:rPr>
        <w:t xml:space="preserve"> </w:t>
      </w:r>
      <w:r w:rsidR="006C06D0">
        <w:rPr>
          <w:rFonts w:ascii="Times New Roman" w:hAnsi="Times New Roman" w:cs="Times New Roman"/>
          <w:lang w:val="en-NZ"/>
        </w:rPr>
        <w:t>Identifying specific legislative provisions for amendment such as this forms a crucial aspect of implementing Convention 190, as it ensures widespread and enforceable change that targets toxic behaviour pattern</w:t>
      </w:r>
      <w:r w:rsidR="00F3324F">
        <w:rPr>
          <w:rFonts w:ascii="Times New Roman" w:hAnsi="Times New Roman" w:cs="Times New Roman"/>
          <w:lang w:val="en-NZ"/>
        </w:rPr>
        <w:t>s in the word of work</w:t>
      </w:r>
      <w:r w:rsidR="00E67F0B">
        <w:rPr>
          <w:rFonts w:ascii="Times New Roman" w:hAnsi="Times New Roman" w:cs="Times New Roman"/>
          <w:lang w:val="en-NZ"/>
        </w:rPr>
        <w:t xml:space="preserve">. </w:t>
      </w:r>
    </w:p>
    <w:p w14:paraId="76E7AEF3" w14:textId="312FA2E1" w:rsidR="00E67F0B" w:rsidRDefault="00E67F0B" w:rsidP="00BF4463">
      <w:pPr>
        <w:spacing w:line="360" w:lineRule="auto"/>
        <w:ind w:right="521"/>
        <w:jc w:val="both"/>
        <w:rPr>
          <w:rFonts w:ascii="Times New Roman" w:hAnsi="Times New Roman" w:cs="Times New Roman"/>
          <w:lang w:val="en-NZ"/>
        </w:rPr>
      </w:pPr>
    </w:p>
    <w:p w14:paraId="0B885C4C" w14:textId="07CD4F19" w:rsidR="00E67F0B" w:rsidRPr="00573F35" w:rsidRDefault="00E67F0B" w:rsidP="00BF4463">
      <w:pPr>
        <w:pStyle w:val="Heading1"/>
        <w:spacing w:line="360" w:lineRule="auto"/>
        <w:rPr>
          <w:rFonts w:ascii="Times New Roman" w:hAnsi="Times New Roman" w:cs="Times New Roman"/>
          <w:sz w:val="28"/>
          <w:szCs w:val="28"/>
          <w:lang w:val="en-NZ"/>
        </w:rPr>
      </w:pPr>
      <w:bookmarkStart w:id="28" w:name="_Toc87264446"/>
      <w:bookmarkStart w:id="29" w:name="_Toc92724694"/>
      <w:bookmarkStart w:id="30" w:name="_Toc92724719"/>
      <w:r w:rsidRPr="00573F35">
        <w:rPr>
          <w:rFonts w:ascii="Times New Roman" w:hAnsi="Times New Roman" w:cs="Times New Roman"/>
          <w:sz w:val="28"/>
          <w:szCs w:val="28"/>
          <w:lang w:val="en-NZ"/>
        </w:rPr>
        <w:t>Part Three</w:t>
      </w:r>
      <w:bookmarkEnd w:id="28"/>
      <w:bookmarkEnd w:id="29"/>
      <w:bookmarkEnd w:id="30"/>
    </w:p>
    <w:p w14:paraId="6A6022EF" w14:textId="4E3102CC" w:rsidR="00E67F0B" w:rsidRDefault="00E67F0B" w:rsidP="00BF4463">
      <w:pPr>
        <w:pStyle w:val="Heading2"/>
        <w:spacing w:line="360" w:lineRule="auto"/>
        <w:jc w:val="both"/>
        <w:rPr>
          <w:rFonts w:ascii="Times New Roman" w:hAnsi="Times New Roman" w:cs="Times New Roman"/>
          <w:sz w:val="24"/>
          <w:szCs w:val="24"/>
        </w:rPr>
      </w:pPr>
      <w:bookmarkStart w:id="31" w:name="_Toc87264447"/>
      <w:bookmarkStart w:id="32" w:name="_Toc92724695"/>
      <w:bookmarkStart w:id="33" w:name="_Toc92724720"/>
      <w:r w:rsidRPr="00573F35">
        <w:rPr>
          <w:rFonts w:ascii="Times New Roman" w:hAnsi="Times New Roman" w:cs="Times New Roman"/>
          <w:sz w:val="24"/>
          <w:szCs w:val="24"/>
          <w:lang w:val="en-NZ"/>
        </w:rPr>
        <w:t xml:space="preserve">The International </w:t>
      </w:r>
      <w:r w:rsidRPr="00573F35">
        <w:rPr>
          <w:rFonts w:ascii="Times New Roman" w:hAnsi="Times New Roman" w:cs="Times New Roman"/>
          <w:sz w:val="24"/>
          <w:szCs w:val="24"/>
        </w:rPr>
        <w:t>Context</w:t>
      </w:r>
      <w:bookmarkEnd w:id="31"/>
      <w:bookmarkEnd w:id="32"/>
      <w:bookmarkEnd w:id="33"/>
    </w:p>
    <w:p w14:paraId="49452DAA" w14:textId="7DF5BFA0" w:rsidR="00B53606" w:rsidRDefault="00B53606" w:rsidP="00B53606">
      <w:pPr>
        <w:spacing w:line="360" w:lineRule="auto"/>
      </w:pPr>
    </w:p>
    <w:p w14:paraId="75FF3665" w14:textId="365C6770" w:rsidR="00940F8D" w:rsidRDefault="00111FD7" w:rsidP="00940F8D">
      <w:pPr>
        <w:spacing w:line="360" w:lineRule="auto"/>
        <w:jc w:val="both"/>
        <w:rPr>
          <w:rFonts w:ascii="Times New Roman" w:hAnsi="Times New Roman" w:cs="Times New Roman"/>
        </w:rPr>
      </w:pPr>
      <w:r>
        <w:rPr>
          <w:rFonts w:ascii="Times New Roman" w:hAnsi="Times New Roman" w:cs="Times New Roman"/>
        </w:rPr>
        <w:t xml:space="preserve">New Zealand stands as an international leader in the Pacific region, providing </w:t>
      </w:r>
      <w:r w:rsidR="00262C16">
        <w:rPr>
          <w:rFonts w:ascii="Times New Roman" w:hAnsi="Times New Roman" w:cs="Times New Roman"/>
        </w:rPr>
        <w:t xml:space="preserve">crucial </w:t>
      </w:r>
      <w:r w:rsidR="00E072C6">
        <w:rPr>
          <w:rFonts w:ascii="Times New Roman" w:hAnsi="Times New Roman" w:cs="Times New Roman"/>
        </w:rPr>
        <w:t xml:space="preserve">advocacy and </w:t>
      </w:r>
      <w:r>
        <w:rPr>
          <w:rFonts w:ascii="Times New Roman" w:hAnsi="Times New Roman" w:cs="Times New Roman"/>
        </w:rPr>
        <w:t>support to small island states</w:t>
      </w:r>
      <w:r w:rsidR="00E072C6">
        <w:rPr>
          <w:rFonts w:ascii="Times New Roman" w:hAnsi="Times New Roman" w:cs="Times New Roman"/>
        </w:rPr>
        <w:t xml:space="preserve">. In this position, the nation has a platform on which to </w:t>
      </w:r>
      <w:r w:rsidR="006B0A88">
        <w:rPr>
          <w:rFonts w:ascii="Times New Roman" w:hAnsi="Times New Roman" w:cs="Times New Roman"/>
        </w:rPr>
        <w:t>promote</w:t>
      </w:r>
      <w:r w:rsidR="00E072C6">
        <w:rPr>
          <w:rFonts w:ascii="Times New Roman" w:hAnsi="Times New Roman" w:cs="Times New Roman"/>
        </w:rPr>
        <w:t xml:space="preserve"> significant and progressive international obligations.</w:t>
      </w:r>
      <w:r>
        <w:rPr>
          <w:rFonts w:ascii="Times New Roman" w:hAnsi="Times New Roman" w:cs="Times New Roman"/>
        </w:rPr>
        <w:t xml:space="preserve"> </w:t>
      </w:r>
      <w:r w:rsidR="00896FCA">
        <w:rPr>
          <w:rFonts w:ascii="Times New Roman" w:hAnsi="Times New Roman" w:cs="Times New Roman"/>
        </w:rPr>
        <w:t xml:space="preserve">However, </w:t>
      </w:r>
      <w:r w:rsidR="00E072C6">
        <w:rPr>
          <w:rFonts w:ascii="Times New Roman" w:hAnsi="Times New Roman" w:cs="Times New Roman"/>
        </w:rPr>
        <w:t>since ILO Convention 190 was adopted in June 2019, New Zealand has failed to ratify the instrume</w:t>
      </w:r>
      <w:r w:rsidR="00262C16">
        <w:rPr>
          <w:rFonts w:ascii="Times New Roman" w:hAnsi="Times New Roman" w:cs="Times New Roman"/>
        </w:rPr>
        <w:t xml:space="preserve">nt and the </w:t>
      </w:r>
      <w:r w:rsidR="00262C16">
        <w:rPr>
          <w:rFonts w:ascii="Times New Roman" w:hAnsi="Times New Roman" w:cs="Times New Roman"/>
        </w:rPr>
        <w:lastRenderedPageBreak/>
        <w:t>fundamental objectives it envisions for labour welfar</w:t>
      </w:r>
      <w:r w:rsidR="002357C3">
        <w:rPr>
          <w:rFonts w:ascii="Times New Roman" w:hAnsi="Times New Roman" w:cs="Times New Roman"/>
        </w:rPr>
        <w:t>e. Comparativel</w:t>
      </w:r>
      <w:r w:rsidR="000E0703">
        <w:rPr>
          <w:rFonts w:ascii="Times New Roman" w:hAnsi="Times New Roman" w:cs="Times New Roman"/>
        </w:rPr>
        <w:t xml:space="preserve">y </w:t>
      </w:r>
      <w:r w:rsidR="002357C3">
        <w:rPr>
          <w:rFonts w:ascii="Times New Roman" w:hAnsi="Times New Roman" w:cs="Times New Roman"/>
        </w:rPr>
        <w:t xml:space="preserve">Fiji, a </w:t>
      </w:r>
      <w:r w:rsidR="000E0703">
        <w:rPr>
          <w:rFonts w:ascii="Times New Roman" w:hAnsi="Times New Roman" w:cs="Times New Roman"/>
        </w:rPr>
        <w:t xml:space="preserve">neighbouring </w:t>
      </w:r>
      <w:r w:rsidR="002357C3">
        <w:rPr>
          <w:rFonts w:ascii="Times New Roman" w:hAnsi="Times New Roman" w:cs="Times New Roman"/>
        </w:rPr>
        <w:t>state with whom New Zealand has a long and multifaceted partnership,</w:t>
      </w:r>
      <w:r w:rsidR="000E0703">
        <w:rPr>
          <w:rFonts w:ascii="Times New Roman" w:hAnsi="Times New Roman" w:cs="Times New Roman"/>
        </w:rPr>
        <w:t xml:space="preserve"> </w:t>
      </w:r>
      <w:r w:rsidR="002357C3">
        <w:rPr>
          <w:rFonts w:ascii="Times New Roman" w:hAnsi="Times New Roman" w:cs="Times New Roman"/>
        </w:rPr>
        <w:t>ratified the Convention</w:t>
      </w:r>
      <w:r w:rsidR="000E0703">
        <w:rPr>
          <w:rFonts w:ascii="Times New Roman" w:hAnsi="Times New Roman" w:cs="Times New Roman"/>
        </w:rPr>
        <w:t xml:space="preserve"> by unanimous vote on </w:t>
      </w:r>
      <w:r w:rsidR="00882E17">
        <w:rPr>
          <w:rFonts w:ascii="Times New Roman" w:hAnsi="Times New Roman" w:cs="Times New Roman"/>
        </w:rPr>
        <w:t xml:space="preserve">25 June 2020. </w:t>
      </w:r>
      <w:r w:rsidR="006B0A88">
        <w:rPr>
          <w:rFonts w:ascii="Times New Roman" w:hAnsi="Times New Roman" w:cs="Times New Roman"/>
        </w:rPr>
        <w:t>Being</w:t>
      </w:r>
      <w:r w:rsidR="00882E17">
        <w:rPr>
          <w:rFonts w:ascii="Times New Roman" w:hAnsi="Times New Roman" w:cs="Times New Roman"/>
        </w:rPr>
        <w:t xml:space="preserve"> its second ratification, </w:t>
      </w:r>
      <w:r w:rsidR="006B0A88">
        <w:rPr>
          <w:rFonts w:ascii="Times New Roman" w:hAnsi="Times New Roman" w:cs="Times New Roman"/>
        </w:rPr>
        <w:t xml:space="preserve">this affirmed the Convention’s official entry into force </w:t>
      </w:r>
      <w:r w:rsidR="00882E17">
        <w:rPr>
          <w:rFonts w:ascii="Times New Roman" w:hAnsi="Times New Roman" w:cs="Times New Roman"/>
        </w:rPr>
        <w:t>on 25 June 202</w:t>
      </w:r>
      <w:r w:rsidR="00EF2F38">
        <w:rPr>
          <w:rFonts w:ascii="Times New Roman" w:hAnsi="Times New Roman" w:cs="Times New Roman"/>
        </w:rPr>
        <w:t>1</w:t>
      </w:r>
      <w:r w:rsidR="006B0A88">
        <w:rPr>
          <w:rFonts w:ascii="Times New Roman" w:hAnsi="Times New Roman" w:cs="Times New Roman"/>
        </w:rPr>
        <w:t xml:space="preserve">. It also represented an undertaking on the Pacific nation’s behalf to enhance </w:t>
      </w:r>
      <w:r w:rsidR="00EF2F38">
        <w:rPr>
          <w:rFonts w:ascii="Times New Roman" w:hAnsi="Times New Roman" w:cs="Times New Roman"/>
        </w:rPr>
        <w:t xml:space="preserve">welfare </w:t>
      </w:r>
      <w:r w:rsidR="006B0A88">
        <w:rPr>
          <w:rFonts w:ascii="Times New Roman" w:hAnsi="Times New Roman" w:cs="Times New Roman"/>
        </w:rPr>
        <w:t>initiatives and support their global advancement.</w:t>
      </w:r>
      <w:r w:rsidR="00931065">
        <w:rPr>
          <w:rFonts w:ascii="Times New Roman" w:hAnsi="Times New Roman" w:cs="Times New Roman"/>
        </w:rPr>
        <w:t xml:space="preserve"> There, alliance-building was foundational to the Convention’s ratification. Solidifying the relationships between key stakeholders including trade unions, feminist movements, human rights </w:t>
      </w:r>
      <w:r w:rsidR="00C27FA7">
        <w:rPr>
          <w:rFonts w:ascii="Times New Roman" w:hAnsi="Times New Roman" w:cs="Times New Roman"/>
        </w:rPr>
        <w:t>organisations,</w:t>
      </w:r>
      <w:r w:rsidR="00931065">
        <w:rPr>
          <w:rFonts w:ascii="Times New Roman" w:hAnsi="Times New Roman" w:cs="Times New Roman"/>
        </w:rPr>
        <w:t xml:space="preserve"> and </w:t>
      </w:r>
      <w:r w:rsidR="00CC7911">
        <w:rPr>
          <w:rFonts w:ascii="Times New Roman" w:hAnsi="Times New Roman" w:cs="Times New Roman"/>
        </w:rPr>
        <w:t xml:space="preserve">civil society organisations in connection with the government generated </w:t>
      </w:r>
      <w:r w:rsidR="00C27FA7">
        <w:rPr>
          <w:rFonts w:ascii="Times New Roman" w:hAnsi="Times New Roman" w:cs="Times New Roman"/>
        </w:rPr>
        <w:t xml:space="preserve">effective </w:t>
      </w:r>
      <w:r w:rsidR="00CC7911">
        <w:rPr>
          <w:rFonts w:ascii="Times New Roman" w:hAnsi="Times New Roman" w:cs="Times New Roman"/>
        </w:rPr>
        <w:t xml:space="preserve">evidence-based lobbying that shaped implementation to </w:t>
      </w:r>
      <w:r w:rsidR="00670C3E">
        <w:rPr>
          <w:rFonts w:ascii="Times New Roman" w:hAnsi="Times New Roman" w:cs="Times New Roman"/>
        </w:rPr>
        <w:t xml:space="preserve">address </w:t>
      </w:r>
      <w:r w:rsidR="00CC7911">
        <w:rPr>
          <w:rFonts w:ascii="Times New Roman" w:hAnsi="Times New Roman" w:cs="Times New Roman"/>
        </w:rPr>
        <w:t>national circumstances. In</w:t>
      </w:r>
      <w:r w:rsidR="00C27FA7">
        <w:rPr>
          <w:rFonts w:ascii="Times New Roman" w:hAnsi="Times New Roman" w:cs="Times New Roman"/>
        </w:rPr>
        <w:t xml:space="preserve"> New Zealand, </w:t>
      </w:r>
      <w:r w:rsidR="004050D0">
        <w:rPr>
          <w:rFonts w:ascii="Times New Roman" w:hAnsi="Times New Roman" w:cs="Times New Roman"/>
        </w:rPr>
        <w:t>similar relationships must be strengthen</w:t>
      </w:r>
      <w:r w:rsidR="00670C3E">
        <w:rPr>
          <w:rFonts w:ascii="Times New Roman" w:hAnsi="Times New Roman" w:cs="Times New Roman"/>
        </w:rPr>
        <w:t xml:space="preserve">ed to adapt the Convention’s objectives to domestic areas of weakness, particularly </w:t>
      </w:r>
      <w:r w:rsidR="00515B20">
        <w:rPr>
          <w:rFonts w:ascii="Times New Roman" w:hAnsi="Times New Roman" w:cs="Times New Roman"/>
        </w:rPr>
        <w:t>regarding</w:t>
      </w:r>
      <w:r w:rsidR="00670C3E">
        <w:rPr>
          <w:rFonts w:ascii="Times New Roman" w:hAnsi="Times New Roman" w:cs="Times New Roman"/>
        </w:rPr>
        <w:t xml:space="preserve"> behaviours fuelling workplace violence a</w:t>
      </w:r>
      <w:r w:rsidR="00A06EEC">
        <w:rPr>
          <w:rFonts w:ascii="Times New Roman" w:hAnsi="Times New Roman" w:cs="Times New Roman"/>
        </w:rPr>
        <w:t>n</w:t>
      </w:r>
      <w:r w:rsidR="00670C3E">
        <w:rPr>
          <w:rFonts w:ascii="Times New Roman" w:hAnsi="Times New Roman" w:cs="Times New Roman"/>
        </w:rPr>
        <w:t>d harassme</w:t>
      </w:r>
      <w:r w:rsidR="00515B20">
        <w:rPr>
          <w:rFonts w:ascii="Times New Roman" w:hAnsi="Times New Roman" w:cs="Times New Roman"/>
        </w:rPr>
        <w:t>nt such as domestic violence and gender discrimination. Nalini Singh of the Fiji Women’s Rights Movement state</w:t>
      </w:r>
      <w:r w:rsidR="00F2114E">
        <w:rPr>
          <w:rFonts w:ascii="Times New Roman" w:hAnsi="Times New Roman" w:cs="Times New Roman"/>
        </w:rPr>
        <w:t>s</w:t>
      </w:r>
      <w:r w:rsidR="00515B20">
        <w:rPr>
          <w:rFonts w:ascii="Times New Roman" w:hAnsi="Times New Roman" w:cs="Times New Roman"/>
        </w:rPr>
        <w:t xml:space="preserve"> “… A st</w:t>
      </w:r>
      <w:r w:rsidR="00F2114E">
        <w:rPr>
          <w:rFonts w:ascii="Times New Roman" w:hAnsi="Times New Roman" w:cs="Times New Roman"/>
        </w:rPr>
        <w:t>ro</w:t>
      </w:r>
      <w:r w:rsidR="00515B20">
        <w:rPr>
          <w:rFonts w:ascii="Times New Roman" w:hAnsi="Times New Roman" w:cs="Times New Roman"/>
        </w:rPr>
        <w:t>ng collective voice from feminist and women’s movements is integral to demand space and promote positive change.”</w:t>
      </w:r>
      <w:r w:rsidR="00515B20">
        <w:rPr>
          <w:rStyle w:val="FootnoteReference"/>
          <w:rFonts w:ascii="Times New Roman" w:hAnsi="Times New Roman" w:cs="Times New Roman"/>
        </w:rPr>
        <w:footnoteReference w:id="52"/>
      </w:r>
      <w:r w:rsidR="00F2114E">
        <w:rPr>
          <w:rFonts w:ascii="Times New Roman" w:hAnsi="Times New Roman" w:cs="Times New Roman"/>
        </w:rPr>
        <w:t xml:space="preserve"> Increased consultations between these kinds of organisations and government will not only promote labour welfare but influence other countries to adopt transformative labour obligations and policy. If New Zealand wishes to uphold a position of leadership in the Pacific, it is integral to respond positively to neighbouring state</w:t>
      </w:r>
      <w:r w:rsidR="00DA13EA">
        <w:rPr>
          <w:rFonts w:ascii="Times New Roman" w:hAnsi="Times New Roman" w:cs="Times New Roman"/>
        </w:rPr>
        <w:t>s, particularly where opportunities for definitive chan</w:t>
      </w:r>
      <w:r w:rsidR="003719A9">
        <w:rPr>
          <w:rFonts w:ascii="Times New Roman" w:hAnsi="Times New Roman" w:cs="Times New Roman"/>
        </w:rPr>
        <w:t>ge arise. At the 328</w:t>
      </w:r>
      <w:r w:rsidR="003719A9" w:rsidRPr="003719A9">
        <w:rPr>
          <w:rFonts w:ascii="Times New Roman" w:hAnsi="Times New Roman" w:cs="Times New Roman"/>
          <w:vertAlign w:val="superscript"/>
        </w:rPr>
        <w:t>th</w:t>
      </w:r>
      <w:r w:rsidR="003719A9">
        <w:rPr>
          <w:rFonts w:ascii="Times New Roman" w:hAnsi="Times New Roman" w:cs="Times New Roman"/>
        </w:rPr>
        <w:t xml:space="preserve"> Session of the ILO in Geneva 2016, it was </w:t>
      </w:r>
      <w:r w:rsidR="00940F8D">
        <w:rPr>
          <w:rFonts w:ascii="Times New Roman" w:hAnsi="Times New Roman" w:cs="Times New Roman"/>
        </w:rPr>
        <w:t>reported that given:</w:t>
      </w:r>
      <w:r w:rsidR="00940F8D">
        <w:rPr>
          <w:rStyle w:val="FootnoteReference"/>
          <w:rFonts w:ascii="Times New Roman" w:hAnsi="Times New Roman" w:cs="Times New Roman"/>
        </w:rPr>
        <w:footnoteReference w:id="53"/>
      </w:r>
    </w:p>
    <w:p w14:paraId="3017ACE5" w14:textId="77777777" w:rsidR="00940F8D" w:rsidRDefault="00940F8D" w:rsidP="00940F8D">
      <w:pPr>
        <w:spacing w:line="360" w:lineRule="auto"/>
        <w:jc w:val="both"/>
        <w:rPr>
          <w:rFonts w:ascii="Times New Roman" w:hAnsi="Times New Roman" w:cs="Times New Roman"/>
        </w:rPr>
      </w:pPr>
    </w:p>
    <w:p w14:paraId="3D47A402" w14:textId="1750A576" w:rsidR="00940F8D" w:rsidRDefault="00940F8D" w:rsidP="00940F8D">
      <w:pPr>
        <w:spacing w:line="360" w:lineRule="auto"/>
        <w:ind w:left="567" w:right="521"/>
        <w:jc w:val="both"/>
        <w:rPr>
          <w:lang w:val="en-NZ"/>
        </w:rPr>
      </w:pPr>
      <w:r>
        <w:rPr>
          <w:rFonts w:ascii="Times New Roman" w:hAnsi="Times New Roman" w:cs="Times New Roman"/>
        </w:rPr>
        <w:t xml:space="preserve">Violence and harassment in the world of work [mirror] violence in society, </w:t>
      </w:r>
      <w:r w:rsidRPr="00940F8D">
        <w:rPr>
          <w:rFonts w:ascii="Times New Roman" w:hAnsi="Times New Roman" w:cs="Times New Roman"/>
          <w:lang w:val="en-NZ"/>
        </w:rPr>
        <w:t>governments should adopt or reinforce a policy or policies, in consultation with social partners and with other relevant and representative organizations of persons concerned, depending on national circumstances, which address work-related violence and harassment.</w:t>
      </w:r>
      <w:r w:rsidRPr="00940F8D">
        <w:rPr>
          <w:lang w:val="en-NZ"/>
        </w:rPr>
        <w:t xml:space="preserve"> </w:t>
      </w:r>
    </w:p>
    <w:p w14:paraId="4CBCFA60" w14:textId="18CF5165" w:rsidR="00940F8D" w:rsidRDefault="00940F8D" w:rsidP="00940F8D">
      <w:pPr>
        <w:spacing w:line="360" w:lineRule="auto"/>
        <w:ind w:right="521"/>
        <w:jc w:val="both"/>
        <w:rPr>
          <w:lang w:val="en-NZ"/>
        </w:rPr>
      </w:pPr>
    </w:p>
    <w:p w14:paraId="64725526" w14:textId="184DD465" w:rsidR="002065F6" w:rsidRDefault="002065F6" w:rsidP="003D1849">
      <w:pPr>
        <w:spacing w:line="360" w:lineRule="auto"/>
        <w:ind w:right="-46"/>
        <w:jc w:val="both"/>
        <w:rPr>
          <w:rFonts w:ascii="Times New Roman" w:hAnsi="Times New Roman" w:cs="Times New Roman"/>
          <w:lang w:val="en-NZ"/>
        </w:rPr>
      </w:pPr>
      <w:r>
        <w:rPr>
          <w:rFonts w:ascii="Times New Roman" w:hAnsi="Times New Roman" w:cs="Times New Roman"/>
          <w:lang w:val="en-NZ"/>
        </w:rPr>
        <w:t xml:space="preserve">This very much reflects an observance of fundamental international obligations to progress human rights and labour welfare in the international community. </w:t>
      </w:r>
      <w:r w:rsidR="000B4365">
        <w:rPr>
          <w:rFonts w:ascii="Times New Roman" w:hAnsi="Times New Roman" w:cs="Times New Roman"/>
          <w:lang w:val="en-NZ"/>
        </w:rPr>
        <w:t xml:space="preserve">As that session also recalled, the right to work in “conditions of freedom and dignity, of economic security and equal </w:t>
      </w:r>
      <w:r w:rsidR="000B4365">
        <w:rPr>
          <w:rFonts w:ascii="Times New Roman" w:hAnsi="Times New Roman" w:cs="Times New Roman"/>
          <w:lang w:val="en-NZ"/>
        </w:rPr>
        <w:lastRenderedPageBreak/>
        <w:t>opportunity” is outlined in the Declaration of Philadelphia 1944.</w:t>
      </w:r>
      <w:r w:rsidR="00F21555">
        <w:rPr>
          <w:rStyle w:val="FootnoteReference"/>
          <w:rFonts w:ascii="Times New Roman" w:hAnsi="Times New Roman" w:cs="Times New Roman"/>
          <w:lang w:val="en-NZ"/>
        </w:rPr>
        <w:footnoteReference w:id="54"/>
      </w:r>
      <w:r w:rsidR="00B5588B">
        <w:rPr>
          <w:rFonts w:ascii="Times New Roman" w:hAnsi="Times New Roman" w:cs="Times New Roman"/>
          <w:lang w:val="en-NZ"/>
        </w:rPr>
        <w:t xml:space="preserve"> </w:t>
      </w:r>
      <w:r w:rsidR="00805BDB">
        <w:rPr>
          <w:rFonts w:ascii="Times New Roman" w:hAnsi="Times New Roman" w:cs="Times New Roman"/>
          <w:lang w:val="en-NZ"/>
        </w:rPr>
        <w:t>Attendees agreed that in light of such fundamental recognitions of labour welfare, “</w:t>
      </w:r>
      <w:r w:rsidR="00B85642">
        <w:rPr>
          <w:rFonts w:ascii="Times New Roman" w:hAnsi="Times New Roman" w:cs="Times New Roman"/>
          <w:lang w:val="en-NZ"/>
        </w:rPr>
        <w:t>violence is incompatible with decent work, is unacceptable and must be addressed. It is a human rights issue</w:t>
      </w:r>
      <w:r w:rsidR="00695979">
        <w:rPr>
          <w:rFonts w:ascii="Times New Roman" w:hAnsi="Times New Roman" w:cs="Times New Roman"/>
          <w:lang w:val="en-NZ"/>
        </w:rPr>
        <w:t xml:space="preserve"> </w:t>
      </w:r>
      <w:r w:rsidR="00B85642">
        <w:rPr>
          <w:rFonts w:ascii="Times New Roman" w:hAnsi="Times New Roman" w:cs="Times New Roman"/>
          <w:lang w:val="en-NZ"/>
        </w:rPr>
        <w:t>… [and] may undermine democratic decision-making and the rule of law.”</w:t>
      </w:r>
      <w:r w:rsidR="00B85642">
        <w:rPr>
          <w:rStyle w:val="FootnoteReference"/>
          <w:rFonts w:ascii="Times New Roman" w:hAnsi="Times New Roman" w:cs="Times New Roman"/>
          <w:lang w:val="en-NZ"/>
        </w:rPr>
        <w:footnoteReference w:id="55"/>
      </w:r>
      <w:r w:rsidR="003D1849">
        <w:rPr>
          <w:rFonts w:ascii="Times New Roman" w:hAnsi="Times New Roman" w:cs="Times New Roman"/>
          <w:lang w:val="en-NZ"/>
        </w:rPr>
        <w:t xml:space="preserve"> </w:t>
      </w:r>
      <w:r w:rsidR="007129DB">
        <w:rPr>
          <w:rFonts w:ascii="Times New Roman" w:hAnsi="Times New Roman" w:cs="Times New Roman"/>
          <w:lang w:val="en-NZ"/>
        </w:rPr>
        <w:t xml:space="preserve">Respectively, </w:t>
      </w:r>
      <w:r w:rsidR="003D1849">
        <w:rPr>
          <w:rFonts w:ascii="Times New Roman" w:hAnsi="Times New Roman" w:cs="Times New Roman"/>
          <w:lang w:val="en-NZ"/>
        </w:rPr>
        <w:t>ratification of Convention 19</w:t>
      </w:r>
      <w:r w:rsidR="007129DB">
        <w:rPr>
          <w:rFonts w:ascii="Times New Roman" w:hAnsi="Times New Roman" w:cs="Times New Roman"/>
          <w:lang w:val="en-NZ"/>
        </w:rPr>
        <w:t xml:space="preserve">0 </w:t>
      </w:r>
      <w:r w:rsidR="003D1849">
        <w:rPr>
          <w:rFonts w:ascii="Times New Roman" w:hAnsi="Times New Roman" w:cs="Times New Roman"/>
          <w:lang w:val="en-NZ"/>
        </w:rPr>
        <w:t>transcen</w:t>
      </w:r>
      <w:r w:rsidR="007129DB">
        <w:rPr>
          <w:rFonts w:ascii="Times New Roman" w:hAnsi="Times New Roman" w:cs="Times New Roman"/>
          <w:lang w:val="en-NZ"/>
        </w:rPr>
        <w:t>ds regional influence</w:t>
      </w:r>
      <w:r w:rsidR="003D1849">
        <w:rPr>
          <w:rFonts w:ascii="Times New Roman" w:hAnsi="Times New Roman" w:cs="Times New Roman"/>
          <w:lang w:val="en-NZ"/>
        </w:rPr>
        <w:t xml:space="preserve">, to </w:t>
      </w:r>
      <w:r w:rsidR="007129DB">
        <w:rPr>
          <w:rFonts w:ascii="Times New Roman" w:hAnsi="Times New Roman" w:cs="Times New Roman"/>
          <w:lang w:val="en-NZ"/>
        </w:rPr>
        <w:t>promote at a universal level</w:t>
      </w:r>
      <w:r w:rsidR="00C22441">
        <w:rPr>
          <w:rFonts w:ascii="Times New Roman" w:hAnsi="Times New Roman" w:cs="Times New Roman"/>
          <w:lang w:val="en-NZ"/>
        </w:rPr>
        <w:t xml:space="preserve"> p</w:t>
      </w:r>
      <w:r w:rsidR="003D1849">
        <w:rPr>
          <w:rFonts w:ascii="Times New Roman" w:hAnsi="Times New Roman" w:cs="Times New Roman"/>
          <w:lang w:val="en-NZ"/>
        </w:rPr>
        <w:t>oli</w:t>
      </w:r>
      <w:r w:rsidR="00C22441">
        <w:rPr>
          <w:rFonts w:ascii="Times New Roman" w:hAnsi="Times New Roman" w:cs="Times New Roman"/>
          <w:lang w:val="en-NZ"/>
        </w:rPr>
        <w:t>cy</w:t>
      </w:r>
      <w:r w:rsidR="003D1849">
        <w:rPr>
          <w:rFonts w:ascii="Times New Roman" w:hAnsi="Times New Roman" w:cs="Times New Roman"/>
          <w:lang w:val="en-NZ"/>
        </w:rPr>
        <w:t xml:space="preserve"> tha</w:t>
      </w:r>
      <w:r w:rsidR="00C22441">
        <w:rPr>
          <w:rFonts w:ascii="Times New Roman" w:hAnsi="Times New Roman" w:cs="Times New Roman"/>
          <w:lang w:val="en-NZ"/>
        </w:rPr>
        <w:t xml:space="preserve">t </w:t>
      </w:r>
      <w:r w:rsidR="007129DB">
        <w:rPr>
          <w:rFonts w:ascii="Times New Roman" w:hAnsi="Times New Roman" w:cs="Times New Roman"/>
          <w:lang w:val="en-NZ"/>
        </w:rPr>
        <w:t>“</w:t>
      </w:r>
      <w:r w:rsidR="00C22441">
        <w:rPr>
          <w:rFonts w:ascii="Times New Roman" w:hAnsi="Times New Roman" w:cs="Times New Roman"/>
          <w:lang w:val="en-NZ"/>
        </w:rPr>
        <w:t>eliminates all forms of discrimination, and violence and harassment, including gender-based violence, from the world of work.</w:t>
      </w:r>
      <w:r w:rsidR="00C22441">
        <w:rPr>
          <w:rStyle w:val="FootnoteReference"/>
          <w:rFonts w:ascii="Times New Roman" w:hAnsi="Times New Roman" w:cs="Times New Roman"/>
          <w:lang w:val="en-NZ"/>
        </w:rPr>
        <w:footnoteReference w:id="56"/>
      </w:r>
      <w:r w:rsidR="007129DB">
        <w:rPr>
          <w:rFonts w:ascii="Times New Roman" w:hAnsi="Times New Roman" w:cs="Times New Roman"/>
          <w:lang w:val="en-NZ"/>
        </w:rPr>
        <w:t xml:space="preserve"> In Uruguay, the first country to ratify the Convention, campaigning was assisted by previously enacted policies that addressed some of the same issues as the Convention. This created an overlap between existing legislation and Convention 190 objectives</w:t>
      </w:r>
      <w:r w:rsidR="003F5653">
        <w:rPr>
          <w:rFonts w:ascii="Times New Roman" w:hAnsi="Times New Roman" w:cs="Times New Roman"/>
          <w:lang w:val="en-NZ"/>
        </w:rPr>
        <w:t>,</w:t>
      </w:r>
      <w:r w:rsidR="007129DB">
        <w:rPr>
          <w:rFonts w:ascii="Times New Roman" w:hAnsi="Times New Roman" w:cs="Times New Roman"/>
          <w:lang w:val="en-NZ"/>
        </w:rPr>
        <w:t xml:space="preserve"> which made it easier to implement and disposed of arguments </w:t>
      </w:r>
      <w:r w:rsidR="003F5653">
        <w:rPr>
          <w:rFonts w:ascii="Times New Roman" w:hAnsi="Times New Roman" w:cs="Times New Roman"/>
          <w:lang w:val="en-NZ"/>
        </w:rPr>
        <w:t>stating</w:t>
      </w:r>
      <w:r w:rsidR="007129DB">
        <w:rPr>
          <w:rFonts w:ascii="Times New Roman" w:hAnsi="Times New Roman" w:cs="Times New Roman"/>
          <w:lang w:val="en-NZ"/>
        </w:rPr>
        <w:t xml:space="preserve"> ratification would involve unmanageable </w:t>
      </w:r>
      <w:r w:rsidR="003F5653">
        <w:rPr>
          <w:rFonts w:ascii="Times New Roman" w:hAnsi="Times New Roman" w:cs="Times New Roman"/>
          <w:lang w:val="en-NZ"/>
        </w:rPr>
        <w:t>amendments to</w:t>
      </w:r>
      <w:r w:rsidR="007129DB">
        <w:rPr>
          <w:rFonts w:ascii="Times New Roman" w:hAnsi="Times New Roman" w:cs="Times New Roman"/>
          <w:lang w:val="en-NZ"/>
        </w:rPr>
        <w:t xml:space="preserve"> pre-existing national legislatio</w:t>
      </w:r>
      <w:r w:rsidR="00413AE7">
        <w:rPr>
          <w:rFonts w:ascii="Times New Roman" w:hAnsi="Times New Roman" w:cs="Times New Roman"/>
          <w:lang w:val="en-NZ"/>
        </w:rPr>
        <w:t xml:space="preserve">n. </w:t>
      </w:r>
      <w:r w:rsidR="00FC2F03">
        <w:rPr>
          <w:rFonts w:ascii="Times New Roman" w:hAnsi="Times New Roman" w:cs="Times New Roman"/>
          <w:lang w:val="en-NZ"/>
        </w:rPr>
        <w:t xml:space="preserve">In New Zealand, as identified in Part II(C) of this report, legislation including the </w:t>
      </w:r>
      <w:r w:rsidR="001A440A">
        <w:rPr>
          <w:rFonts w:ascii="Times New Roman" w:hAnsi="Times New Roman" w:cs="Times New Roman"/>
          <w:lang w:val="en-NZ"/>
        </w:rPr>
        <w:t>Health and Safety at Work Act</w:t>
      </w:r>
      <w:r w:rsidR="001A440A">
        <w:rPr>
          <w:rStyle w:val="FootnoteReference"/>
          <w:rFonts w:ascii="Times New Roman" w:hAnsi="Times New Roman" w:cs="Times New Roman"/>
          <w:lang w:val="en-NZ"/>
        </w:rPr>
        <w:footnoteReference w:id="57"/>
      </w:r>
      <w:r w:rsidR="001A440A">
        <w:rPr>
          <w:rFonts w:ascii="Times New Roman" w:hAnsi="Times New Roman" w:cs="Times New Roman"/>
          <w:lang w:val="en-NZ"/>
        </w:rPr>
        <w:t xml:space="preserve"> and Employment Relations Act</w:t>
      </w:r>
      <w:r w:rsidR="001A440A">
        <w:rPr>
          <w:rStyle w:val="FootnoteReference"/>
          <w:rFonts w:ascii="Times New Roman" w:hAnsi="Times New Roman" w:cs="Times New Roman"/>
          <w:lang w:val="en-NZ"/>
        </w:rPr>
        <w:footnoteReference w:id="58"/>
      </w:r>
      <w:r w:rsidR="001A440A">
        <w:rPr>
          <w:rFonts w:ascii="Times New Roman" w:hAnsi="Times New Roman" w:cs="Times New Roman"/>
          <w:lang w:val="en-NZ"/>
        </w:rPr>
        <w:t xml:space="preserve"> provid</w:t>
      </w:r>
      <w:r w:rsidR="00A5591F">
        <w:rPr>
          <w:rFonts w:ascii="Times New Roman" w:hAnsi="Times New Roman" w:cs="Times New Roman"/>
          <w:lang w:val="en-NZ"/>
        </w:rPr>
        <w:t>e appropriate</w:t>
      </w:r>
      <w:r w:rsidR="001A440A">
        <w:rPr>
          <w:rFonts w:ascii="Times New Roman" w:hAnsi="Times New Roman" w:cs="Times New Roman"/>
          <w:lang w:val="en-NZ"/>
        </w:rPr>
        <w:t xml:space="preserve"> backdrops </w:t>
      </w:r>
      <w:r w:rsidR="00A5591F">
        <w:rPr>
          <w:rFonts w:ascii="Times New Roman" w:hAnsi="Times New Roman" w:cs="Times New Roman"/>
          <w:lang w:val="en-NZ"/>
        </w:rPr>
        <w:t xml:space="preserve">against which the objectives of Convention 190 </w:t>
      </w:r>
      <w:r w:rsidR="003A015F">
        <w:rPr>
          <w:rFonts w:ascii="Times New Roman" w:hAnsi="Times New Roman" w:cs="Times New Roman"/>
          <w:lang w:val="en-NZ"/>
        </w:rPr>
        <w:t>may be assessed. Though, it is not only national legislation that New Zealand must consider in its decision to ratify. There is a wider engagement with fundamental human rights and labour issues that New Zealand upholds as a member of the international community which must be accounted for when determining the endorsement of Convention 190.</w:t>
      </w:r>
    </w:p>
    <w:p w14:paraId="571C4692" w14:textId="72CC2CFF" w:rsidR="00D275D3" w:rsidRDefault="00D275D3" w:rsidP="003D1849">
      <w:pPr>
        <w:spacing w:line="360" w:lineRule="auto"/>
        <w:ind w:right="-46"/>
        <w:jc w:val="both"/>
        <w:rPr>
          <w:rFonts w:ascii="Times New Roman" w:hAnsi="Times New Roman" w:cs="Times New Roman"/>
          <w:lang w:val="en-NZ"/>
        </w:rPr>
      </w:pPr>
    </w:p>
    <w:p w14:paraId="1DE72A4D" w14:textId="593E975A" w:rsidR="00D275D3" w:rsidRDefault="00D275D3" w:rsidP="00D275D3">
      <w:pPr>
        <w:pStyle w:val="Heading2"/>
        <w:rPr>
          <w:rFonts w:ascii="Times New Roman" w:hAnsi="Times New Roman" w:cs="Times New Roman"/>
          <w:sz w:val="24"/>
          <w:szCs w:val="24"/>
          <w:lang w:val="en-NZ"/>
        </w:rPr>
      </w:pPr>
      <w:bookmarkStart w:id="34" w:name="_Toc87264448"/>
      <w:bookmarkStart w:id="35" w:name="_Toc92724696"/>
      <w:bookmarkStart w:id="36" w:name="_Toc92724721"/>
      <w:r w:rsidRPr="00D275D3">
        <w:rPr>
          <w:rFonts w:ascii="Times New Roman" w:hAnsi="Times New Roman" w:cs="Times New Roman"/>
          <w:sz w:val="24"/>
          <w:szCs w:val="24"/>
          <w:lang w:val="en-NZ"/>
        </w:rPr>
        <w:t>COVID-19 and Violence Against Women</w:t>
      </w:r>
      <w:bookmarkEnd w:id="34"/>
      <w:bookmarkEnd w:id="35"/>
      <w:bookmarkEnd w:id="36"/>
    </w:p>
    <w:p w14:paraId="514138BA" w14:textId="4E2A1A07" w:rsidR="00D275D3" w:rsidRDefault="00D275D3" w:rsidP="004D3D48">
      <w:pPr>
        <w:spacing w:line="360" w:lineRule="auto"/>
        <w:jc w:val="both"/>
        <w:rPr>
          <w:lang w:val="en-NZ"/>
        </w:rPr>
      </w:pPr>
    </w:p>
    <w:p w14:paraId="52D70941" w14:textId="172886F3" w:rsidR="00E94C12" w:rsidRDefault="004D3D48" w:rsidP="004D3D48">
      <w:pPr>
        <w:spacing w:line="360" w:lineRule="auto"/>
        <w:jc w:val="both"/>
        <w:rPr>
          <w:rFonts w:ascii="Times New Roman" w:hAnsi="Times New Roman" w:cs="Times New Roman"/>
          <w:lang w:val="en-NZ"/>
        </w:rPr>
      </w:pPr>
      <w:r>
        <w:rPr>
          <w:rFonts w:ascii="Times New Roman" w:hAnsi="Times New Roman" w:cs="Times New Roman"/>
          <w:lang w:val="en-NZ"/>
        </w:rPr>
        <w:t xml:space="preserve">Finally, it is important to note that the current international climate, largely revolving around the COVID-19 pandemic, has ramifications </w:t>
      </w:r>
      <w:r w:rsidR="00AF3EF3">
        <w:rPr>
          <w:rFonts w:ascii="Times New Roman" w:hAnsi="Times New Roman" w:cs="Times New Roman"/>
          <w:lang w:val="en-NZ"/>
        </w:rPr>
        <w:t xml:space="preserve">for </w:t>
      </w:r>
      <w:r>
        <w:rPr>
          <w:rFonts w:ascii="Times New Roman" w:hAnsi="Times New Roman" w:cs="Times New Roman"/>
          <w:lang w:val="en-NZ"/>
        </w:rPr>
        <w:t xml:space="preserve">labour welfare </w:t>
      </w:r>
      <w:r w:rsidR="00B63952">
        <w:rPr>
          <w:rFonts w:ascii="Times New Roman" w:hAnsi="Times New Roman" w:cs="Times New Roman"/>
          <w:lang w:val="en-NZ"/>
        </w:rPr>
        <w:t>rendering</w:t>
      </w:r>
      <w:r>
        <w:rPr>
          <w:rFonts w:ascii="Times New Roman" w:hAnsi="Times New Roman" w:cs="Times New Roman"/>
          <w:lang w:val="en-NZ"/>
        </w:rPr>
        <w:t xml:space="preserve"> it more susceptible to the issues addressed by Convention 190</w:t>
      </w:r>
      <w:r w:rsidR="00B63952">
        <w:rPr>
          <w:rFonts w:ascii="Times New Roman" w:hAnsi="Times New Roman" w:cs="Times New Roman"/>
          <w:lang w:val="en-NZ"/>
        </w:rPr>
        <w:t>. The World Health Organization’s 2020 Report stated that violence against women remains a major threat to global public health and women’s health particularly during emergencies.</w:t>
      </w:r>
      <w:r w:rsidR="00B63952">
        <w:rPr>
          <w:rStyle w:val="FootnoteReference"/>
          <w:rFonts w:ascii="Times New Roman" w:hAnsi="Times New Roman" w:cs="Times New Roman"/>
          <w:lang w:val="en-NZ"/>
        </w:rPr>
        <w:footnoteReference w:id="59"/>
      </w:r>
      <w:r w:rsidR="00B63952">
        <w:rPr>
          <w:rFonts w:ascii="Times New Roman" w:hAnsi="Times New Roman" w:cs="Times New Roman"/>
          <w:lang w:val="en-NZ"/>
        </w:rPr>
        <w:t xml:space="preserve"> It further stated that globally, one in three women worldwide have experiences sexual violence in their lifetime, most of this is intimate partner violence.</w:t>
      </w:r>
      <w:r w:rsidR="00B63952">
        <w:rPr>
          <w:rStyle w:val="FootnoteReference"/>
          <w:rFonts w:ascii="Times New Roman" w:hAnsi="Times New Roman" w:cs="Times New Roman"/>
          <w:lang w:val="en-NZ"/>
        </w:rPr>
        <w:footnoteReference w:id="60"/>
      </w:r>
      <w:r w:rsidR="00566A8B">
        <w:rPr>
          <w:rFonts w:ascii="Times New Roman" w:hAnsi="Times New Roman" w:cs="Times New Roman"/>
          <w:lang w:val="en-NZ"/>
        </w:rPr>
        <w:t xml:space="preserve"> Though data was scarce at this point in the pandemic’s timeline, reports from China, the United </w:t>
      </w:r>
      <w:r w:rsidR="00566A8B">
        <w:rPr>
          <w:rFonts w:ascii="Times New Roman" w:hAnsi="Times New Roman" w:cs="Times New Roman"/>
          <w:lang w:val="en-NZ"/>
        </w:rPr>
        <w:lastRenderedPageBreak/>
        <w:t>Kingdom and the United States suggested an increase in domestic violence cases since the COVID-19 outbreak.</w:t>
      </w:r>
      <w:r w:rsidR="008B3FBF">
        <w:rPr>
          <w:rStyle w:val="FootnoteReference"/>
          <w:rFonts w:ascii="Times New Roman" w:hAnsi="Times New Roman" w:cs="Times New Roman"/>
          <w:lang w:val="en-NZ"/>
        </w:rPr>
        <w:footnoteReference w:id="61"/>
      </w:r>
      <w:r w:rsidR="0022538F">
        <w:rPr>
          <w:rFonts w:ascii="Times New Roman" w:hAnsi="Times New Roman" w:cs="Times New Roman"/>
          <w:lang w:val="en-NZ"/>
        </w:rPr>
        <w:t xml:space="preserve"> Stress, the disruption of social and protective networks, and decreased access to services all have the potential to exacerbate the risk of violence against women.</w:t>
      </w:r>
      <w:r w:rsidR="0022538F">
        <w:rPr>
          <w:rStyle w:val="FootnoteReference"/>
          <w:rFonts w:ascii="Times New Roman" w:hAnsi="Times New Roman" w:cs="Times New Roman"/>
          <w:lang w:val="en-NZ"/>
        </w:rPr>
        <w:footnoteReference w:id="62"/>
      </w:r>
      <w:r w:rsidR="0022538F">
        <w:rPr>
          <w:rFonts w:ascii="Times New Roman" w:hAnsi="Times New Roman" w:cs="Times New Roman"/>
          <w:lang w:val="en-NZ"/>
        </w:rPr>
        <w:t xml:space="preserve"> In addition, increased pressure to work from home and pressure on health workers, where women comprise the majority of the workforce, </w:t>
      </w:r>
      <w:r w:rsidR="007245F3">
        <w:rPr>
          <w:rFonts w:ascii="Times New Roman" w:hAnsi="Times New Roman" w:cs="Times New Roman"/>
          <w:lang w:val="en-NZ"/>
        </w:rPr>
        <w:t>is</w:t>
      </w:r>
      <w:r w:rsidR="00036035">
        <w:rPr>
          <w:rFonts w:ascii="Times New Roman" w:hAnsi="Times New Roman" w:cs="Times New Roman"/>
          <w:lang w:val="en-NZ"/>
        </w:rPr>
        <w:t xml:space="preserve"> more likely to subject women to violence and discriminatio</w:t>
      </w:r>
      <w:r w:rsidR="00FA033F">
        <w:rPr>
          <w:rFonts w:ascii="Times New Roman" w:hAnsi="Times New Roman" w:cs="Times New Roman"/>
          <w:lang w:val="en-NZ"/>
        </w:rPr>
        <w:t>n.</w:t>
      </w:r>
      <w:r w:rsidR="00FA033F">
        <w:rPr>
          <w:rStyle w:val="FootnoteReference"/>
          <w:rFonts w:ascii="Times New Roman" w:hAnsi="Times New Roman" w:cs="Times New Roman"/>
          <w:lang w:val="en-NZ"/>
        </w:rPr>
        <w:footnoteReference w:id="63"/>
      </w:r>
      <w:r w:rsidR="00FA033F">
        <w:rPr>
          <w:rFonts w:ascii="Times New Roman" w:hAnsi="Times New Roman" w:cs="Times New Roman"/>
          <w:lang w:val="en-NZ"/>
        </w:rPr>
        <w:t xml:space="preserve"> </w:t>
      </w:r>
      <w:r w:rsidR="00EB442B">
        <w:rPr>
          <w:rFonts w:ascii="Times New Roman" w:hAnsi="Times New Roman" w:cs="Times New Roman"/>
          <w:lang w:val="en-NZ"/>
        </w:rPr>
        <w:t>This report outlines a number of measures that may be taken to address violence against women during the COVID-19 response, including the promotion of awareness and services by governments and policy makers, health facilities and providers and community members.</w:t>
      </w:r>
      <w:r w:rsidR="00EB442B">
        <w:rPr>
          <w:rStyle w:val="FootnoteReference"/>
          <w:rFonts w:ascii="Times New Roman" w:hAnsi="Times New Roman" w:cs="Times New Roman"/>
          <w:lang w:val="en-NZ"/>
        </w:rPr>
        <w:footnoteReference w:id="64"/>
      </w:r>
      <w:r w:rsidR="005B2A34">
        <w:rPr>
          <w:rFonts w:ascii="Times New Roman" w:hAnsi="Times New Roman" w:cs="Times New Roman"/>
          <w:lang w:val="en-NZ"/>
        </w:rPr>
        <w:t xml:space="preserve"> </w:t>
      </w:r>
    </w:p>
    <w:p w14:paraId="6D1C6DAE" w14:textId="77777777" w:rsidR="005C2C56" w:rsidRDefault="005C2C56" w:rsidP="004D3D48">
      <w:pPr>
        <w:spacing w:line="360" w:lineRule="auto"/>
        <w:jc w:val="both"/>
        <w:rPr>
          <w:rFonts w:ascii="Times New Roman" w:hAnsi="Times New Roman" w:cs="Times New Roman"/>
          <w:lang w:val="en-NZ"/>
        </w:rPr>
      </w:pPr>
    </w:p>
    <w:p w14:paraId="757731A9" w14:textId="77777777" w:rsidR="005C2C56" w:rsidRPr="00E94C12" w:rsidRDefault="00BA2808" w:rsidP="005C2C56">
      <w:pPr>
        <w:rPr>
          <w:rFonts w:ascii="Times New Roman" w:hAnsi="Times New Roman" w:cs="Times New Roman"/>
          <w:sz w:val="20"/>
          <w:szCs w:val="20"/>
          <w:lang w:val="en-NZ"/>
        </w:rPr>
      </w:pPr>
      <w:hyperlink r:id="rId9" w:history="1">
        <w:r w:rsidR="005C2C56">
          <w:rPr>
            <w:rStyle w:val="Hyperlink"/>
            <w:rFonts w:ascii="Times New Roman" w:hAnsi="Times New Roman" w:cs="Times New Roman"/>
            <w:sz w:val="20"/>
            <w:szCs w:val="20"/>
            <w:lang w:val="en-US"/>
          </w:rPr>
          <w:t>World Health Organization Report - COVID-19 and Violence Against Women 7 April 2020</w:t>
        </w:r>
      </w:hyperlink>
      <w:r w:rsidR="005C2C56" w:rsidRPr="00E94C12">
        <w:rPr>
          <w:rFonts w:ascii="Times New Roman" w:hAnsi="Times New Roman" w:cs="Times New Roman"/>
          <w:sz w:val="20"/>
          <w:szCs w:val="20"/>
          <w:lang w:val="en-NZ"/>
        </w:rPr>
        <w:t xml:space="preserve"> </w:t>
      </w:r>
    </w:p>
    <w:p w14:paraId="5BC131BA" w14:textId="77777777" w:rsidR="00E94C12" w:rsidRDefault="00E94C12" w:rsidP="004D3D48">
      <w:pPr>
        <w:spacing w:line="360" w:lineRule="auto"/>
        <w:jc w:val="both"/>
        <w:rPr>
          <w:rFonts w:ascii="Times New Roman" w:hAnsi="Times New Roman" w:cs="Times New Roman"/>
          <w:lang w:val="en-NZ"/>
        </w:rPr>
      </w:pPr>
    </w:p>
    <w:p w14:paraId="4FB3E5C3" w14:textId="193EAF94" w:rsidR="00E94C12" w:rsidRDefault="00E94C12" w:rsidP="004D3D48">
      <w:pPr>
        <w:spacing w:line="360" w:lineRule="auto"/>
        <w:jc w:val="both"/>
        <w:rPr>
          <w:rFonts w:ascii="Times New Roman" w:hAnsi="Times New Roman" w:cs="Times New Roman"/>
          <w:lang w:val="en-NZ"/>
        </w:rPr>
      </w:pPr>
      <w:r>
        <w:rPr>
          <w:rFonts w:ascii="Times New Roman" w:hAnsi="Times New Roman" w:cs="Times New Roman"/>
          <w:noProof/>
          <w:lang w:val="en-NZ"/>
        </w:rPr>
        <w:drawing>
          <wp:inline distT="0" distB="0" distL="0" distR="0" wp14:anchorId="14E27FB5" wp14:editId="591FDFD5">
            <wp:extent cx="5731510" cy="3938905"/>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3938905"/>
                    </a:xfrm>
                    <a:prstGeom prst="rect">
                      <a:avLst/>
                    </a:prstGeom>
                  </pic:spPr>
                </pic:pic>
              </a:graphicData>
            </a:graphic>
          </wp:inline>
        </w:drawing>
      </w:r>
    </w:p>
    <w:p w14:paraId="05A11718" w14:textId="77777777" w:rsidR="00E94C12" w:rsidRDefault="00E94C12" w:rsidP="004D3D48">
      <w:pPr>
        <w:spacing w:line="360" w:lineRule="auto"/>
        <w:jc w:val="both"/>
        <w:rPr>
          <w:rFonts w:ascii="Times New Roman" w:hAnsi="Times New Roman" w:cs="Times New Roman"/>
          <w:lang w:val="en-NZ"/>
        </w:rPr>
      </w:pPr>
    </w:p>
    <w:p w14:paraId="40354BF2" w14:textId="1E8AD902" w:rsidR="00D275D3" w:rsidRDefault="005B2A34" w:rsidP="004D3D48">
      <w:pPr>
        <w:spacing w:line="360" w:lineRule="auto"/>
        <w:jc w:val="both"/>
        <w:rPr>
          <w:rFonts w:ascii="Times New Roman" w:hAnsi="Times New Roman" w:cs="Times New Roman"/>
          <w:lang w:val="en-NZ"/>
        </w:rPr>
      </w:pPr>
      <w:r>
        <w:rPr>
          <w:rFonts w:ascii="Times New Roman" w:hAnsi="Times New Roman" w:cs="Times New Roman"/>
          <w:lang w:val="en-NZ"/>
        </w:rPr>
        <w:t xml:space="preserve">Convention 190 therefore encapsulates obligations that are not only crucial for the improvement of global labour welfare, but are extremely relevant to way the international </w:t>
      </w:r>
      <w:r>
        <w:rPr>
          <w:rFonts w:ascii="Times New Roman" w:hAnsi="Times New Roman" w:cs="Times New Roman"/>
          <w:lang w:val="en-NZ"/>
        </w:rPr>
        <w:lastRenderedPageBreak/>
        <w:t>community responds to the hardships inflicted by COVID-19.</w:t>
      </w:r>
      <w:r w:rsidR="00B655DC">
        <w:rPr>
          <w:rFonts w:ascii="Times New Roman" w:hAnsi="Times New Roman" w:cs="Times New Roman"/>
          <w:lang w:val="en-NZ"/>
        </w:rPr>
        <w:t xml:space="preserve"> Where societal conditions invoke violence and harassment in the world of work, Convention 190 is the solution to protecting vulnerable individuals and holding accountable those who perpetrate such unjustifiable behaviour. </w:t>
      </w:r>
    </w:p>
    <w:p w14:paraId="1AD44754" w14:textId="5CC1197C" w:rsidR="00B655DC" w:rsidRDefault="00B655DC" w:rsidP="004D3D48">
      <w:pPr>
        <w:spacing w:line="360" w:lineRule="auto"/>
        <w:jc w:val="both"/>
        <w:rPr>
          <w:rFonts w:ascii="Times New Roman" w:hAnsi="Times New Roman" w:cs="Times New Roman"/>
          <w:lang w:val="en-NZ"/>
        </w:rPr>
      </w:pPr>
    </w:p>
    <w:p w14:paraId="76FB9E2F" w14:textId="611DADF4" w:rsidR="00B655DC" w:rsidRDefault="00B655DC" w:rsidP="00B655DC">
      <w:pPr>
        <w:pStyle w:val="Heading1"/>
        <w:rPr>
          <w:rFonts w:ascii="Times New Roman" w:hAnsi="Times New Roman" w:cs="Times New Roman"/>
          <w:sz w:val="28"/>
          <w:szCs w:val="28"/>
          <w:lang w:val="en-US"/>
        </w:rPr>
      </w:pPr>
      <w:bookmarkStart w:id="37" w:name="_Toc87264449"/>
      <w:bookmarkStart w:id="38" w:name="_Toc92724697"/>
      <w:bookmarkStart w:id="39" w:name="_Toc92724722"/>
      <w:r>
        <w:rPr>
          <w:rFonts w:ascii="Times New Roman" w:hAnsi="Times New Roman" w:cs="Times New Roman"/>
          <w:sz w:val="28"/>
          <w:szCs w:val="28"/>
          <w:lang w:val="en-US"/>
        </w:rPr>
        <w:t>Conclusion</w:t>
      </w:r>
      <w:bookmarkEnd w:id="37"/>
      <w:bookmarkEnd w:id="38"/>
      <w:bookmarkEnd w:id="39"/>
    </w:p>
    <w:p w14:paraId="4AA74FC4" w14:textId="0FAC0226" w:rsidR="00B655DC" w:rsidRDefault="00B655DC" w:rsidP="00B655DC">
      <w:pPr>
        <w:spacing w:line="360" w:lineRule="auto"/>
        <w:rPr>
          <w:rFonts w:ascii="Times New Roman" w:hAnsi="Times New Roman" w:cs="Times New Roman"/>
          <w:lang w:val="en-US"/>
        </w:rPr>
      </w:pPr>
    </w:p>
    <w:p w14:paraId="696EF79A" w14:textId="5D4A578A" w:rsidR="00B655DC" w:rsidRPr="00B655DC" w:rsidRDefault="00785D3D" w:rsidP="00B655DC">
      <w:pPr>
        <w:spacing w:line="360" w:lineRule="auto"/>
        <w:jc w:val="both"/>
        <w:rPr>
          <w:rFonts w:ascii="Times New Roman" w:hAnsi="Times New Roman" w:cs="Times New Roman"/>
          <w:lang w:val="en-US"/>
        </w:rPr>
      </w:pPr>
      <w:r>
        <w:rPr>
          <w:rFonts w:ascii="Times New Roman" w:hAnsi="Times New Roman" w:cs="Times New Roman"/>
          <w:lang w:val="en-US"/>
        </w:rPr>
        <w:t>ILO Convention 190 takes a multifaceted approach to global labour welfare, seeking to enhance working experience through the eradication of issues that fuel violence and harassment in the world of work. It outlines a broad and cohesive framework under which gaps in national legislation and awareness amongst labour and human rights organisations are addressed. In doing so, Convention</w:t>
      </w:r>
      <w:r w:rsidR="00AF3EF3">
        <w:rPr>
          <w:rFonts w:ascii="Times New Roman" w:hAnsi="Times New Roman" w:cs="Times New Roman"/>
          <w:lang w:val="en-US"/>
        </w:rPr>
        <w:t xml:space="preserve"> 190</w:t>
      </w:r>
      <w:r>
        <w:rPr>
          <w:rFonts w:ascii="Times New Roman" w:hAnsi="Times New Roman" w:cs="Times New Roman"/>
          <w:lang w:val="en-US"/>
        </w:rPr>
        <w:t xml:space="preserve"> facilitates collaboration between government and </w:t>
      </w:r>
      <w:r w:rsidR="007374EE">
        <w:rPr>
          <w:rFonts w:ascii="Times New Roman" w:hAnsi="Times New Roman" w:cs="Times New Roman"/>
          <w:lang w:val="en-US"/>
        </w:rPr>
        <w:t xml:space="preserve">public and private entities, to improve domestic labour standards in consideration of local circumstances. There is an overlap between the objectives of Convention </w:t>
      </w:r>
      <w:r w:rsidR="00AF3EF3">
        <w:rPr>
          <w:rFonts w:ascii="Times New Roman" w:hAnsi="Times New Roman" w:cs="Times New Roman"/>
          <w:lang w:val="en-US"/>
        </w:rPr>
        <w:t xml:space="preserve">190 </w:t>
      </w:r>
      <w:r w:rsidR="007374EE">
        <w:rPr>
          <w:rFonts w:ascii="Times New Roman" w:hAnsi="Times New Roman" w:cs="Times New Roman"/>
          <w:lang w:val="en-US"/>
        </w:rPr>
        <w:t>and pre-existing policy in New Zealand that upholds both national and international obligations</w:t>
      </w:r>
      <w:r w:rsidR="00A32E81">
        <w:rPr>
          <w:rFonts w:ascii="Times New Roman" w:hAnsi="Times New Roman" w:cs="Times New Roman"/>
          <w:lang w:val="en-US"/>
        </w:rPr>
        <w:t xml:space="preserve">. </w:t>
      </w:r>
      <w:proofErr w:type="gramStart"/>
      <w:r w:rsidR="00A32E81">
        <w:rPr>
          <w:rFonts w:ascii="Times New Roman" w:hAnsi="Times New Roman" w:cs="Times New Roman"/>
          <w:lang w:val="en-US"/>
        </w:rPr>
        <w:t>In light of</w:t>
      </w:r>
      <w:proofErr w:type="gramEnd"/>
      <w:r w:rsidR="00A32E81">
        <w:rPr>
          <w:rFonts w:ascii="Times New Roman" w:hAnsi="Times New Roman" w:cs="Times New Roman"/>
          <w:lang w:val="en-US"/>
        </w:rPr>
        <w:t xml:space="preserve"> t</w:t>
      </w:r>
      <w:r w:rsidR="00D716F7">
        <w:rPr>
          <w:rFonts w:ascii="Times New Roman" w:hAnsi="Times New Roman" w:cs="Times New Roman"/>
          <w:lang w:val="en-US"/>
        </w:rPr>
        <w:t xml:space="preserve">he </w:t>
      </w:r>
      <w:r w:rsidR="00A32E81">
        <w:rPr>
          <w:rFonts w:ascii="Times New Roman" w:hAnsi="Times New Roman" w:cs="Times New Roman"/>
          <w:lang w:val="en-US"/>
        </w:rPr>
        <w:t xml:space="preserve">current international climate and where New Zealand stands </w:t>
      </w:r>
      <w:r w:rsidR="009240BE">
        <w:rPr>
          <w:rFonts w:ascii="Times New Roman" w:hAnsi="Times New Roman" w:cs="Times New Roman"/>
          <w:lang w:val="en-US"/>
        </w:rPr>
        <w:t xml:space="preserve">in it, particularly as a leader </w:t>
      </w:r>
      <w:r w:rsidR="00D716F7">
        <w:rPr>
          <w:rFonts w:ascii="Times New Roman" w:hAnsi="Times New Roman" w:cs="Times New Roman"/>
          <w:lang w:val="en-US"/>
        </w:rPr>
        <w:t>in</w:t>
      </w:r>
      <w:r w:rsidR="009240BE">
        <w:rPr>
          <w:rFonts w:ascii="Times New Roman" w:hAnsi="Times New Roman" w:cs="Times New Roman"/>
          <w:lang w:val="en-US"/>
        </w:rPr>
        <w:t xml:space="preserve"> the Pacific region, it is </w:t>
      </w:r>
      <w:r w:rsidR="00D716F7">
        <w:rPr>
          <w:rFonts w:ascii="Times New Roman" w:hAnsi="Times New Roman" w:cs="Times New Roman"/>
          <w:lang w:val="en-US"/>
        </w:rPr>
        <w:t>integral that the state endorses Convention 190 and begins on a path of ratification. Unions, social movements, employer</w:t>
      </w:r>
      <w:r w:rsidR="00F11663">
        <w:rPr>
          <w:rFonts w:ascii="Times New Roman" w:hAnsi="Times New Roman" w:cs="Times New Roman"/>
          <w:lang w:val="en-US"/>
        </w:rPr>
        <w:t xml:space="preserve">s, </w:t>
      </w:r>
      <w:r w:rsidR="00D716F7">
        <w:rPr>
          <w:rFonts w:ascii="Times New Roman" w:hAnsi="Times New Roman" w:cs="Times New Roman"/>
          <w:lang w:val="en-US"/>
        </w:rPr>
        <w:t xml:space="preserve">and employees must come together and work with government to set an example of </w:t>
      </w:r>
      <w:r w:rsidR="00D94ED8">
        <w:rPr>
          <w:rFonts w:ascii="Times New Roman" w:hAnsi="Times New Roman" w:cs="Times New Roman"/>
          <w:lang w:val="en-US"/>
        </w:rPr>
        <w:t>the labour sector that New Zealand wishes to see in the future.</w:t>
      </w:r>
    </w:p>
    <w:p w14:paraId="46998C61" w14:textId="0BAB339E" w:rsidR="00B655DC" w:rsidRDefault="00B655DC" w:rsidP="004D3D48">
      <w:pPr>
        <w:spacing w:line="360" w:lineRule="auto"/>
        <w:jc w:val="both"/>
        <w:rPr>
          <w:rFonts w:ascii="Times New Roman" w:hAnsi="Times New Roman" w:cs="Times New Roman"/>
          <w:lang w:val="en-NZ"/>
        </w:rPr>
      </w:pPr>
    </w:p>
    <w:p w14:paraId="41E7E7B9" w14:textId="77777777" w:rsidR="00B655DC" w:rsidRPr="00D275D3" w:rsidRDefault="00B655DC" w:rsidP="004D3D48">
      <w:pPr>
        <w:spacing w:line="360" w:lineRule="auto"/>
        <w:jc w:val="both"/>
        <w:rPr>
          <w:rFonts w:ascii="Times New Roman" w:hAnsi="Times New Roman" w:cs="Times New Roman"/>
          <w:lang w:val="en-NZ"/>
        </w:rPr>
      </w:pPr>
    </w:p>
    <w:p w14:paraId="1A41C1ED" w14:textId="77777777" w:rsidR="00573F35" w:rsidRPr="00573F35" w:rsidRDefault="00573F35" w:rsidP="00573F35">
      <w:pPr>
        <w:jc w:val="both"/>
        <w:rPr>
          <w:rFonts w:ascii="Times New Roman" w:hAnsi="Times New Roman" w:cs="Times New Roman"/>
        </w:rPr>
      </w:pPr>
    </w:p>
    <w:p w14:paraId="7402EC39" w14:textId="2F2D3D8B" w:rsidR="00E67F0B" w:rsidRDefault="00E67F0B" w:rsidP="00E67F0B">
      <w:pPr>
        <w:rPr>
          <w:lang w:val="en-NZ"/>
        </w:rPr>
      </w:pPr>
    </w:p>
    <w:p w14:paraId="2DD23768" w14:textId="32FCC5A8" w:rsidR="00053159" w:rsidRPr="00F1691A" w:rsidRDefault="00053159" w:rsidP="00F1691A">
      <w:pPr>
        <w:spacing w:line="360" w:lineRule="auto"/>
        <w:jc w:val="both"/>
        <w:rPr>
          <w:rFonts w:ascii="Times New Roman" w:hAnsi="Times New Roman" w:cs="Times New Roman"/>
        </w:rPr>
      </w:pPr>
    </w:p>
    <w:sectPr w:rsidR="00053159" w:rsidRPr="00F1691A">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224F7" w14:textId="77777777" w:rsidR="00BA2808" w:rsidRDefault="00BA2808" w:rsidP="00256069">
      <w:r>
        <w:separator/>
      </w:r>
    </w:p>
  </w:endnote>
  <w:endnote w:type="continuationSeparator" w:id="0">
    <w:p w14:paraId="401E7FDB" w14:textId="77777777" w:rsidR="00BA2808" w:rsidRDefault="00BA2808" w:rsidP="0025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1406521"/>
      <w:docPartObj>
        <w:docPartGallery w:val="Page Numbers (Bottom of Page)"/>
        <w:docPartUnique/>
      </w:docPartObj>
    </w:sdtPr>
    <w:sdtEndPr>
      <w:rPr>
        <w:rStyle w:val="PageNumber"/>
      </w:rPr>
    </w:sdtEndPr>
    <w:sdtContent>
      <w:p w14:paraId="7D96641C" w14:textId="3B980F3E" w:rsidR="00BA1789" w:rsidRDefault="00BA1789" w:rsidP="00597B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7D0E31" w14:textId="77777777" w:rsidR="00BA1789" w:rsidRDefault="00BA1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30B2" w14:textId="796A54BB" w:rsidR="00BA1789" w:rsidRPr="00BA1789" w:rsidRDefault="00BA1789" w:rsidP="00BA1789">
    <w:pPr>
      <w:pStyle w:val="Footer"/>
      <w:jc w:val="center"/>
      <w:rPr>
        <w:sz w:val="16"/>
        <w:szCs w:val="16"/>
      </w:rPr>
    </w:pPr>
    <w:r w:rsidRPr="00BA1789">
      <w:rPr>
        <w:rFonts w:ascii="Times New Roman" w:hAnsi="Times New Roman"/>
        <w:sz w:val="16"/>
        <w:szCs w:val="16"/>
      </w:rPr>
      <w:t xml:space="preserve">Page </w:t>
    </w:r>
    <w:r w:rsidRPr="00BA1789">
      <w:rPr>
        <w:rFonts w:ascii="Times New Roman" w:hAnsi="Times New Roman"/>
        <w:sz w:val="16"/>
        <w:szCs w:val="16"/>
      </w:rPr>
      <w:fldChar w:fldCharType="begin"/>
    </w:r>
    <w:r w:rsidRPr="00BA1789">
      <w:rPr>
        <w:rFonts w:ascii="Times New Roman" w:hAnsi="Times New Roman"/>
        <w:sz w:val="16"/>
        <w:szCs w:val="16"/>
      </w:rPr>
      <w:instrText xml:space="preserve"> PAGE </w:instrText>
    </w:r>
    <w:r w:rsidRPr="00BA1789">
      <w:rPr>
        <w:rFonts w:ascii="Times New Roman" w:hAnsi="Times New Roman"/>
        <w:sz w:val="16"/>
        <w:szCs w:val="16"/>
      </w:rPr>
      <w:fldChar w:fldCharType="separate"/>
    </w:r>
    <w:r w:rsidRPr="00BA1789">
      <w:rPr>
        <w:rFonts w:ascii="Times New Roman" w:hAnsi="Times New Roman"/>
        <w:noProof/>
        <w:sz w:val="16"/>
        <w:szCs w:val="16"/>
      </w:rPr>
      <w:t>2</w:t>
    </w:r>
    <w:r w:rsidRPr="00BA1789">
      <w:rPr>
        <w:rFonts w:ascii="Times New Roman" w:hAnsi="Times New Roman"/>
        <w:sz w:val="16"/>
        <w:szCs w:val="16"/>
      </w:rPr>
      <w:fldChar w:fldCharType="end"/>
    </w:r>
    <w:r w:rsidRPr="00BA1789">
      <w:rPr>
        <w:rFonts w:ascii="Times New Roman" w:hAnsi="Times New Roman"/>
        <w:sz w:val="16"/>
        <w:szCs w:val="16"/>
      </w:rPr>
      <w:t xml:space="preserve"> of </w:t>
    </w:r>
    <w:r w:rsidRPr="00BA1789">
      <w:rPr>
        <w:rFonts w:ascii="Times New Roman" w:hAnsi="Times New Roman"/>
        <w:sz w:val="16"/>
        <w:szCs w:val="16"/>
      </w:rPr>
      <w:fldChar w:fldCharType="begin"/>
    </w:r>
    <w:r w:rsidRPr="00BA1789">
      <w:rPr>
        <w:rFonts w:ascii="Times New Roman" w:hAnsi="Times New Roman"/>
        <w:sz w:val="16"/>
        <w:szCs w:val="16"/>
      </w:rPr>
      <w:instrText xml:space="preserve"> NUMPAGES </w:instrText>
    </w:r>
    <w:r w:rsidRPr="00BA1789">
      <w:rPr>
        <w:rFonts w:ascii="Times New Roman" w:hAnsi="Times New Roman"/>
        <w:sz w:val="16"/>
        <w:szCs w:val="16"/>
      </w:rPr>
      <w:fldChar w:fldCharType="separate"/>
    </w:r>
    <w:r w:rsidRPr="00BA1789">
      <w:rPr>
        <w:rFonts w:ascii="Times New Roman" w:hAnsi="Times New Roman"/>
        <w:noProof/>
        <w:sz w:val="16"/>
        <w:szCs w:val="16"/>
      </w:rPr>
      <w:t>3</w:t>
    </w:r>
    <w:r w:rsidRPr="00BA1789">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F152" w14:textId="77777777" w:rsidR="00BA2808" w:rsidRDefault="00BA2808" w:rsidP="00256069">
      <w:r>
        <w:separator/>
      </w:r>
    </w:p>
  </w:footnote>
  <w:footnote w:type="continuationSeparator" w:id="0">
    <w:p w14:paraId="754F29FA" w14:textId="77777777" w:rsidR="00BA2808" w:rsidRDefault="00BA2808" w:rsidP="00256069">
      <w:r>
        <w:continuationSeparator/>
      </w:r>
    </w:p>
  </w:footnote>
  <w:footnote w:id="1">
    <w:p w14:paraId="79F130B6" w14:textId="35CFA693" w:rsidR="00256069" w:rsidRPr="00D9360F" w:rsidRDefault="00256069">
      <w:pPr>
        <w:pStyle w:val="FootnoteText"/>
        <w:rPr>
          <w:rFonts w:ascii="Times New Roman" w:hAnsi="Times New Roman" w:cs="Times New Roman"/>
          <w:sz w:val="16"/>
          <w:szCs w:val="16"/>
          <w:lang w:val="en-US"/>
        </w:rPr>
      </w:pPr>
      <w:r w:rsidRPr="00BA1789">
        <w:rPr>
          <w:rStyle w:val="FootnoteReference"/>
          <w:rFonts w:ascii="Times New Roman" w:hAnsi="Times New Roman" w:cs="Times New Roman"/>
        </w:rPr>
        <w:footnoteRef/>
      </w:r>
      <w:r w:rsidRPr="00BA1789">
        <w:rPr>
          <w:rFonts w:ascii="Times New Roman" w:hAnsi="Times New Roman" w:cs="Times New Roman"/>
        </w:rPr>
        <w:t xml:space="preserve"> </w:t>
      </w:r>
      <w:r w:rsidR="00FF2142" w:rsidRPr="00BA1789">
        <w:rPr>
          <w:rFonts w:ascii="Times New Roman" w:hAnsi="Times New Roman" w:cs="Times New Roman"/>
        </w:rPr>
        <w:t>International Labour Organization Violence and Harassment Convention, 2019 (No. 190), art 1.</w:t>
      </w:r>
      <w:r w:rsidR="00B65601" w:rsidRPr="00BA1789">
        <w:rPr>
          <w:rFonts w:ascii="Times New Roman" w:hAnsi="Times New Roman" w:cs="Times New Roman"/>
        </w:rPr>
        <w:t xml:space="preserve"> </w:t>
      </w:r>
    </w:p>
  </w:footnote>
  <w:footnote w:id="2">
    <w:p w14:paraId="68C1433F" w14:textId="65324ACB" w:rsidR="008A2CEE" w:rsidRPr="00BA1789" w:rsidRDefault="008A2CEE">
      <w:pPr>
        <w:pStyle w:val="FootnoteText"/>
        <w:rPr>
          <w:rFonts w:ascii="Times New Roman" w:hAnsi="Times New Roman" w:cs="Times New Roman"/>
          <w:lang w:val="en-US"/>
        </w:rPr>
      </w:pPr>
      <w:r w:rsidRPr="00BA1789">
        <w:rPr>
          <w:rStyle w:val="FootnoteReference"/>
          <w:rFonts w:ascii="Times New Roman" w:hAnsi="Times New Roman" w:cs="Times New Roman"/>
        </w:rPr>
        <w:footnoteRef/>
      </w:r>
      <w:r w:rsidRPr="00BA1789">
        <w:rPr>
          <w:rFonts w:ascii="Times New Roman" w:hAnsi="Times New Roman" w:cs="Times New Roman"/>
        </w:rPr>
        <w:t xml:space="preserve"> </w:t>
      </w:r>
      <w:r w:rsidRPr="00A0226C">
        <w:rPr>
          <w:rFonts w:ascii="Times New Roman" w:hAnsi="Times New Roman" w:cs="Times New Roman"/>
          <w:i/>
          <w:iCs/>
          <w:lang w:val="en-US"/>
        </w:rPr>
        <w:t>Facilitator Guide</w:t>
      </w:r>
      <w:r w:rsidR="00B57B7F" w:rsidRPr="00A0226C">
        <w:rPr>
          <w:rFonts w:ascii="Times New Roman" w:hAnsi="Times New Roman" w:cs="Times New Roman"/>
          <w:i/>
          <w:iCs/>
          <w:lang w:val="en-US"/>
        </w:rPr>
        <w:t xml:space="preserve"> on the ILO Violence and Harassment Convention (No. 190) and Recommendation (No. 206)</w:t>
      </w:r>
      <w:r w:rsidR="00A0226C">
        <w:rPr>
          <w:rFonts w:ascii="Times New Roman" w:hAnsi="Times New Roman" w:cs="Times New Roman"/>
          <w:lang w:val="en-US"/>
        </w:rPr>
        <w:t xml:space="preserve"> (Mondiaal FNV, </w:t>
      </w:r>
      <w:r w:rsidR="00B57B7F" w:rsidRPr="00BA1789">
        <w:rPr>
          <w:rFonts w:ascii="Times New Roman" w:hAnsi="Times New Roman" w:cs="Times New Roman"/>
          <w:lang w:val="en-US"/>
        </w:rPr>
        <w:t>202</w:t>
      </w:r>
      <w:r w:rsidR="00A0226C">
        <w:rPr>
          <w:rFonts w:ascii="Times New Roman" w:hAnsi="Times New Roman" w:cs="Times New Roman"/>
          <w:lang w:val="en-US"/>
        </w:rPr>
        <w:t xml:space="preserve">1) </w:t>
      </w:r>
      <w:r w:rsidR="00B57B7F" w:rsidRPr="00BA1789">
        <w:rPr>
          <w:rFonts w:ascii="Times New Roman" w:hAnsi="Times New Roman" w:cs="Times New Roman"/>
          <w:lang w:val="en-US"/>
        </w:rPr>
        <w:t>at 8.</w:t>
      </w:r>
    </w:p>
  </w:footnote>
  <w:footnote w:id="3">
    <w:p w14:paraId="463C4414" w14:textId="1F96E76E" w:rsidR="008414F0" w:rsidRPr="000F1670" w:rsidRDefault="008414F0">
      <w:pPr>
        <w:pStyle w:val="FootnoteText"/>
        <w:rPr>
          <w:rFonts w:ascii="Times New Roman" w:hAnsi="Times New Roman" w:cs="Times New Roman"/>
          <w:lang w:val="en-US"/>
        </w:rPr>
      </w:pPr>
      <w:r w:rsidRPr="000F1670">
        <w:rPr>
          <w:rStyle w:val="FootnoteReference"/>
          <w:rFonts w:ascii="Times New Roman" w:hAnsi="Times New Roman" w:cs="Times New Roman"/>
        </w:rPr>
        <w:footnoteRef/>
      </w:r>
      <w:r w:rsidRPr="000F1670">
        <w:rPr>
          <w:rFonts w:ascii="Times New Roman" w:hAnsi="Times New Roman" w:cs="Times New Roman"/>
        </w:rPr>
        <w:t xml:space="preserve"> </w:t>
      </w:r>
      <w:r w:rsidRPr="000F1670">
        <w:rPr>
          <w:rFonts w:ascii="Times New Roman" w:hAnsi="Times New Roman" w:cs="Times New Roman"/>
          <w:lang w:val="en-US"/>
        </w:rPr>
        <w:t>Convention No. 190, art</w:t>
      </w:r>
      <w:r w:rsidR="00A0226C">
        <w:rPr>
          <w:rFonts w:ascii="Times New Roman" w:hAnsi="Times New Roman" w:cs="Times New Roman"/>
          <w:lang w:val="en-US"/>
        </w:rPr>
        <w:t>s</w:t>
      </w:r>
      <w:r w:rsidRPr="000F1670">
        <w:rPr>
          <w:rFonts w:ascii="Times New Roman" w:hAnsi="Times New Roman" w:cs="Times New Roman"/>
          <w:lang w:val="en-US"/>
        </w:rPr>
        <w:t xml:space="preserve"> 1</w:t>
      </w:r>
      <w:r w:rsidR="00A0226C">
        <w:rPr>
          <w:rFonts w:ascii="Times New Roman" w:hAnsi="Times New Roman" w:cs="Times New Roman"/>
          <w:lang w:val="en-US"/>
        </w:rPr>
        <w:t xml:space="preserve">, </w:t>
      </w:r>
      <w:r w:rsidRPr="000F1670">
        <w:rPr>
          <w:rFonts w:ascii="Times New Roman" w:hAnsi="Times New Roman" w:cs="Times New Roman"/>
          <w:lang w:val="en-US"/>
        </w:rPr>
        <w:t>10.</w:t>
      </w:r>
    </w:p>
  </w:footnote>
  <w:footnote w:id="4">
    <w:p w14:paraId="5298F399" w14:textId="1AF3CC2F" w:rsidR="00B24A35" w:rsidRPr="00B24A35" w:rsidRDefault="00B24A35">
      <w:pPr>
        <w:pStyle w:val="FootnoteText"/>
        <w:rPr>
          <w:rFonts w:ascii="Times New Roman" w:hAnsi="Times New Roman" w:cs="Times New Roman"/>
          <w:lang w:val="en-US"/>
        </w:rPr>
      </w:pPr>
      <w:r w:rsidRPr="00B24A35">
        <w:rPr>
          <w:rStyle w:val="FootnoteReference"/>
          <w:rFonts w:ascii="Times New Roman" w:hAnsi="Times New Roman" w:cs="Times New Roman"/>
        </w:rPr>
        <w:footnoteRef/>
      </w:r>
      <w:r w:rsidRPr="00B24A35">
        <w:rPr>
          <w:rFonts w:ascii="Times New Roman" w:hAnsi="Times New Roman" w:cs="Times New Roman"/>
        </w:rPr>
        <w:t xml:space="preserve"> </w:t>
      </w:r>
      <w:r w:rsidRPr="00A0226C">
        <w:rPr>
          <w:rFonts w:ascii="Times New Roman" w:hAnsi="Times New Roman" w:cs="Times New Roman"/>
          <w:i/>
          <w:iCs/>
          <w:lang w:val="en-US"/>
        </w:rPr>
        <w:t>Facilitator</w:t>
      </w:r>
      <w:r w:rsidR="00DD440A" w:rsidRPr="00A0226C">
        <w:rPr>
          <w:rFonts w:ascii="Times New Roman" w:hAnsi="Times New Roman" w:cs="Times New Roman"/>
          <w:i/>
          <w:iCs/>
          <w:lang w:val="en-US"/>
        </w:rPr>
        <w:t xml:space="preserve"> Guide</w:t>
      </w:r>
      <w:r w:rsidRPr="00B24A35">
        <w:rPr>
          <w:rFonts w:ascii="Times New Roman" w:hAnsi="Times New Roman" w:cs="Times New Roman"/>
          <w:lang w:val="en-US"/>
        </w:rPr>
        <w:t xml:space="preserve"> at 41.</w:t>
      </w:r>
    </w:p>
  </w:footnote>
  <w:footnote w:id="5">
    <w:p w14:paraId="226ED5CC" w14:textId="35A4F6E4" w:rsidR="002909CE" w:rsidRPr="000F1670" w:rsidRDefault="002909CE">
      <w:pPr>
        <w:pStyle w:val="FootnoteText"/>
        <w:rPr>
          <w:rFonts w:ascii="Times New Roman" w:hAnsi="Times New Roman" w:cs="Times New Roman"/>
          <w:lang w:val="en-US"/>
        </w:rPr>
      </w:pPr>
      <w:r w:rsidRPr="000F1670">
        <w:rPr>
          <w:rStyle w:val="FootnoteReference"/>
          <w:rFonts w:ascii="Times New Roman" w:hAnsi="Times New Roman" w:cs="Times New Roman"/>
        </w:rPr>
        <w:footnoteRef/>
      </w:r>
      <w:r w:rsidRPr="000F1670">
        <w:rPr>
          <w:rFonts w:ascii="Times New Roman" w:hAnsi="Times New Roman" w:cs="Times New Roman"/>
        </w:rPr>
        <w:t xml:space="preserve"> </w:t>
      </w:r>
      <w:r w:rsidRPr="000F1670">
        <w:rPr>
          <w:rFonts w:ascii="Times New Roman" w:hAnsi="Times New Roman" w:cs="Times New Roman"/>
          <w:lang w:val="en-US"/>
        </w:rPr>
        <w:t>Accident Compensation Act 2001, s 28.</w:t>
      </w:r>
    </w:p>
  </w:footnote>
  <w:footnote w:id="6">
    <w:p w14:paraId="2F3BB327" w14:textId="3753398F" w:rsidR="000F1670" w:rsidRPr="000F1670" w:rsidRDefault="000F1670">
      <w:pPr>
        <w:pStyle w:val="FootnoteText"/>
        <w:rPr>
          <w:rFonts w:ascii="Times New Roman" w:hAnsi="Times New Roman" w:cs="Times New Roman"/>
          <w:lang w:val="en-US"/>
        </w:rPr>
      </w:pPr>
      <w:r w:rsidRPr="000F1670">
        <w:rPr>
          <w:rStyle w:val="FootnoteReference"/>
          <w:rFonts w:ascii="Times New Roman" w:hAnsi="Times New Roman" w:cs="Times New Roman"/>
        </w:rPr>
        <w:footnoteRef/>
      </w:r>
      <w:r w:rsidRPr="000F1670">
        <w:rPr>
          <w:rFonts w:ascii="Times New Roman" w:hAnsi="Times New Roman" w:cs="Times New Roman"/>
        </w:rPr>
        <w:t xml:space="preserve"> </w:t>
      </w:r>
      <w:r w:rsidR="00A0226C">
        <w:rPr>
          <w:rFonts w:ascii="Times New Roman" w:hAnsi="Times New Roman" w:cs="Times New Roman"/>
          <w:lang w:val="en-US"/>
        </w:rPr>
        <w:t>S</w:t>
      </w:r>
      <w:r w:rsidRPr="000F1670">
        <w:rPr>
          <w:rFonts w:ascii="Times New Roman" w:hAnsi="Times New Roman" w:cs="Times New Roman"/>
          <w:lang w:val="en-US"/>
        </w:rPr>
        <w:t>ection 28(1)(a).</w:t>
      </w:r>
    </w:p>
  </w:footnote>
  <w:footnote w:id="7">
    <w:p w14:paraId="32A273C2" w14:textId="64C52BFD" w:rsidR="000F1670" w:rsidRPr="000F1670" w:rsidRDefault="000F1670">
      <w:pPr>
        <w:pStyle w:val="FootnoteText"/>
        <w:rPr>
          <w:lang w:val="en-US"/>
        </w:rPr>
      </w:pPr>
      <w:r w:rsidRPr="000F1670">
        <w:rPr>
          <w:rStyle w:val="FootnoteReference"/>
          <w:rFonts w:ascii="Times New Roman" w:hAnsi="Times New Roman" w:cs="Times New Roman"/>
        </w:rPr>
        <w:footnoteRef/>
      </w:r>
      <w:r w:rsidRPr="000F1670">
        <w:rPr>
          <w:rFonts w:ascii="Times New Roman" w:hAnsi="Times New Roman" w:cs="Times New Roman"/>
        </w:rPr>
        <w:t xml:space="preserve"> </w:t>
      </w:r>
      <w:r w:rsidR="00A0226C">
        <w:rPr>
          <w:rFonts w:ascii="Times New Roman" w:hAnsi="Times New Roman" w:cs="Times New Roman"/>
        </w:rPr>
        <w:t>S</w:t>
      </w:r>
      <w:r w:rsidRPr="000F1670">
        <w:rPr>
          <w:rFonts w:ascii="Times New Roman" w:hAnsi="Times New Roman" w:cs="Times New Roman"/>
        </w:rPr>
        <w:t>ection 28.</w:t>
      </w:r>
    </w:p>
  </w:footnote>
  <w:footnote w:id="8">
    <w:p w14:paraId="6CECB913" w14:textId="39233C30" w:rsidR="00734931" w:rsidRPr="000B2579" w:rsidRDefault="00734931">
      <w:pPr>
        <w:pStyle w:val="FootnoteText"/>
        <w:rPr>
          <w:rFonts w:ascii="Times New Roman" w:hAnsi="Times New Roman" w:cs="Times New Roman"/>
          <w:lang w:val="en-US"/>
        </w:rPr>
      </w:pPr>
      <w:r w:rsidRPr="000B2579">
        <w:rPr>
          <w:rStyle w:val="FootnoteReference"/>
          <w:rFonts w:ascii="Times New Roman" w:hAnsi="Times New Roman" w:cs="Times New Roman"/>
        </w:rPr>
        <w:footnoteRef/>
      </w:r>
      <w:r w:rsidRPr="000B2579">
        <w:rPr>
          <w:rFonts w:ascii="Times New Roman" w:hAnsi="Times New Roman" w:cs="Times New Roman"/>
        </w:rPr>
        <w:t xml:space="preserve"> </w:t>
      </w:r>
      <w:r w:rsidR="00A0226C">
        <w:rPr>
          <w:rFonts w:ascii="Times New Roman" w:hAnsi="Times New Roman" w:cs="Times New Roman"/>
          <w:lang w:val="en-US"/>
        </w:rPr>
        <w:t xml:space="preserve">Accident Compensation Act, </w:t>
      </w:r>
      <w:r w:rsidRPr="000B2579">
        <w:rPr>
          <w:rFonts w:ascii="Times New Roman" w:hAnsi="Times New Roman" w:cs="Times New Roman"/>
          <w:lang w:val="en-US"/>
        </w:rPr>
        <w:t>preamble.</w:t>
      </w:r>
    </w:p>
  </w:footnote>
  <w:footnote w:id="9">
    <w:p w14:paraId="68637836" w14:textId="065E80DD" w:rsidR="000B2579" w:rsidRPr="000B2579" w:rsidRDefault="000B2579">
      <w:pPr>
        <w:pStyle w:val="FootnoteText"/>
        <w:rPr>
          <w:rFonts w:ascii="Times New Roman" w:hAnsi="Times New Roman" w:cs="Times New Roman"/>
          <w:lang w:val="en-NZ"/>
        </w:rPr>
      </w:pPr>
      <w:r w:rsidRPr="000B2579">
        <w:rPr>
          <w:rStyle w:val="FootnoteReference"/>
          <w:rFonts w:ascii="Times New Roman" w:hAnsi="Times New Roman" w:cs="Times New Roman"/>
        </w:rPr>
        <w:footnoteRef/>
      </w:r>
      <w:r w:rsidRPr="000B2579">
        <w:rPr>
          <w:rFonts w:ascii="Times New Roman" w:hAnsi="Times New Roman" w:cs="Times New Roman"/>
        </w:rPr>
        <w:t xml:space="preserve"> </w:t>
      </w:r>
      <w:r w:rsidRPr="000B2579">
        <w:rPr>
          <w:rFonts w:ascii="Times New Roman" w:hAnsi="Times New Roman" w:cs="Times New Roman"/>
          <w:i/>
          <w:iCs/>
          <w:lang w:val="en-US"/>
        </w:rPr>
        <w:t xml:space="preserve">National Standards Committee v Gardner-Hopkins </w:t>
      </w:r>
      <w:r w:rsidRPr="000B2579">
        <w:rPr>
          <w:rFonts w:ascii="Times New Roman" w:hAnsi="Times New Roman" w:cs="Times New Roman"/>
          <w:lang w:val="en-NZ"/>
        </w:rPr>
        <w:t>[2021] NZLCDT 21.</w:t>
      </w:r>
    </w:p>
  </w:footnote>
  <w:footnote w:id="10">
    <w:p w14:paraId="7096B994" w14:textId="47F1D883" w:rsidR="000B2579" w:rsidRPr="000B2579" w:rsidRDefault="000B2579">
      <w:pPr>
        <w:pStyle w:val="FootnoteText"/>
        <w:rPr>
          <w:lang w:val="en-US"/>
        </w:rPr>
      </w:pPr>
      <w:r w:rsidRPr="000B2579">
        <w:rPr>
          <w:rStyle w:val="FootnoteReference"/>
          <w:rFonts w:ascii="Times New Roman" w:hAnsi="Times New Roman" w:cs="Times New Roman"/>
        </w:rPr>
        <w:footnoteRef/>
      </w:r>
      <w:r w:rsidRPr="000B2579">
        <w:rPr>
          <w:rFonts w:ascii="Times New Roman" w:hAnsi="Times New Roman" w:cs="Times New Roman"/>
        </w:rPr>
        <w:t xml:space="preserve"> </w:t>
      </w:r>
      <w:r w:rsidR="00D118FC">
        <w:rPr>
          <w:rFonts w:ascii="Times New Roman" w:hAnsi="Times New Roman" w:cs="Times New Roman"/>
        </w:rPr>
        <w:t>At [183].</w:t>
      </w:r>
    </w:p>
  </w:footnote>
  <w:footnote w:id="11">
    <w:p w14:paraId="2FBB8077" w14:textId="283D6841" w:rsidR="00EB5D3E" w:rsidRPr="00EB5D3E" w:rsidRDefault="00EB5D3E">
      <w:pPr>
        <w:pStyle w:val="FootnoteText"/>
        <w:rPr>
          <w:rFonts w:ascii="Times New Roman" w:hAnsi="Times New Roman" w:cs="Times New Roman"/>
          <w:lang w:val="en-US"/>
        </w:rPr>
      </w:pPr>
      <w:r w:rsidRPr="00EB5D3E">
        <w:rPr>
          <w:rStyle w:val="FootnoteReference"/>
          <w:rFonts w:ascii="Times New Roman" w:hAnsi="Times New Roman" w:cs="Times New Roman"/>
        </w:rPr>
        <w:footnoteRef/>
      </w:r>
      <w:r w:rsidRPr="00EB5D3E">
        <w:rPr>
          <w:rFonts w:ascii="Times New Roman" w:hAnsi="Times New Roman" w:cs="Times New Roman"/>
        </w:rPr>
        <w:t xml:space="preserve"> </w:t>
      </w:r>
      <w:r w:rsidR="00D118FC">
        <w:rPr>
          <w:rFonts w:ascii="Times New Roman" w:hAnsi="Times New Roman" w:cs="Times New Roman"/>
          <w:lang w:val="en-US"/>
        </w:rPr>
        <w:t>At [6].</w:t>
      </w:r>
    </w:p>
  </w:footnote>
  <w:footnote w:id="12">
    <w:p w14:paraId="37201559" w14:textId="3E1FF479" w:rsidR="00755098" w:rsidRPr="00755098" w:rsidRDefault="00755098">
      <w:pPr>
        <w:pStyle w:val="FootnoteText"/>
        <w:rPr>
          <w:lang w:val="en-US"/>
        </w:rPr>
      </w:pPr>
      <w:r>
        <w:rPr>
          <w:rStyle w:val="FootnoteReference"/>
        </w:rPr>
        <w:footnoteRef/>
      </w:r>
      <w:r>
        <w:t xml:space="preserve"> </w:t>
      </w:r>
      <w:r w:rsidRPr="00BA1789">
        <w:rPr>
          <w:rFonts w:ascii="Times New Roman" w:hAnsi="Times New Roman" w:cs="Times New Roman"/>
        </w:rPr>
        <w:t xml:space="preserve">International Labour Organization </w:t>
      </w:r>
      <w:r>
        <w:rPr>
          <w:rFonts w:ascii="Times New Roman" w:hAnsi="Times New Roman" w:cs="Times New Roman"/>
        </w:rPr>
        <w:t xml:space="preserve">Discrimination (Employment and Occupation) </w:t>
      </w:r>
      <w:r w:rsidRPr="00BA1789">
        <w:rPr>
          <w:rFonts w:ascii="Times New Roman" w:hAnsi="Times New Roman" w:cs="Times New Roman"/>
        </w:rPr>
        <w:t xml:space="preserve">Convention, </w:t>
      </w:r>
      <w:r>
        <w:rPr>
          <w:rFonts w:ascii="Times New Roman" w:hAnsi="Times New Roman" w:cs="Times New Roman"/>
        </w:rPr>
        <w:t>1958</w:t>
      </w:r>
      <w:r w:rsidRPr="00BA1789">
        <w:rPr>
          <w:rFonts w:ascii="Times New Roman" w:hAnsi="Times New Roman" w:cs="Times New Roman"/>
        </w:rPr>
        <w:t xml:space="preserve"> (No. </w:t>
      </w:r>
      <w:r>
        <w:rPr>
          <w:rFonts w:ascii="Times New Roman" w:hAnsi="Times New Roman" w:cs="Times New Roman"/>
        </w:rPr>
        <w:t>111</w:t>
      </w:r>
      <w:r w:rsidRPr="00BA1789">
        <w:rPr>
          <w:rFonts w:ascii="Times New Roman" w:hAnsi="Times New Roman" w:cs="Times New Roman"/>
        </w:rPr>
        <w:t>)</w:t>
      </w:r>
      <w:r>
        <w:rPr>
          <w:rFonts w:ascii="Times New Roman" w:hAnsi="Times New Roman" w:cs="Times New Roman"/>
        </w:rPr>
        <w:t>.</w:t>
      </w:r>
    </w:p>
  </w:footnote>
  <w:footnote w:id="13">
    <w:p w14:paraId="578DC700" w14:textId="1DC0176B" w:rsidR="00F1691A" w:rsidRPr="00F1691A" w:rsidRDefault="00F1691A">
      <w:pPr>
        <w:pStyle w:val="FootnoteText"/>
        <w:rPr>
          <w:rFonts w:ascii="Times New Roman" w:hAnsi="Times New Roman" w:cs="Times New Roman"/>
          <w:lang w:val="en-US"/>
        </w:rPr>
      </w:pPr>
      <w:r w:rsidRPr="00F1691A">
        <w:rPr>
          <w:rStyle w:val="FootnoteReference"/>
          <w:rFonts w:ascii="Times New Roman" w:hAnsi="Times New Roman" w:cs="Times New Roman"/>
        </w:rPr>
        <w:footnoteRef/>
      </w:r>
      <w:r w:rsidRPr="00F1691A">
        <w:rPr>
          <w:rFonts w:ascii="Times New Roman" w:hAnsi="Times New Roman" w:cs="Times New Roman"/>
        </w:rPr>
        <w:t xml:space="preserve"> </w:t>
      </w:r>
      <w:r w:rsidR="00705B07" w:rsidRPr="000F1670">
        <w:rPr>
          <w:rFonts w:ascii="Times New Roman" w:hAnsi="Times New Roman" w:cs="Times New Roman"/>
          <w:lang w:val="en-US"/>
        </w:rPr>
        <w:t>Convention No. 190, art</w:t>
      </w:r>
      <w:r w:rsidR="00705B07">
        <w:rPr>
          <w:rFonts w:ascii="Times New Roman" w:hAnsi="Times New Roman" w:cs="Times New Roman"/>
          <w:lang w:val="en-US"/>
        </w:rPr>
        <w:t xml:space="preserve"> 6</w:t>
      </w:r>
      <w:r w:rsidR="00705B07" w:rsidRPr="000F1670">
        <w:rPr>
          <w:rFonts w:ascii="Times New Roman" w:hAnsi="Times New Roman" w:cs="Times New Roman"/>
          <w:lang w:val="en-US"/>
        </w:rPr>
        <w:t>.</w:t>
      </w:r>
    </w:p>
  </w:footnote>
  <w:footnote w:id="14">
    <w:p w14:paraId="794786A7" w14:textId="34AB39D3" w:rsidR="00591BF7" w:rsidRPr="00591BF7" w:rsidRDefault="00591BF7">
      <w:pPr>
        <w:pStyle w:val="FootnoteText"/>
        <w:rPr>
          <w:rFonts w:ascii="Times New Roman" w:hAnsi="Times New Roman" w:cs="Times New Roman"/>
          <w:lang w:val="en-US"/>
        </w:rPr>
      </w:pPr>
      <w:r w:rsidRPr="00591BF7">
        <w:rPr>
          <w:rStyle w:val="FootnoteReference"/>
          <w:rFonts w:ascii="Times New Roman" w:hAnsi="Times New Roman" w:cs="Times New Roman"/>
        </w:rPr>
        <w:footnoteRef/>
      </w:r>
      <w:r w:rsidRPr="00591BF7">
        <w:rPr>
          <w:rFonts w:ascii="Times New Roman" w:hAnsi="Times New Roman" w:cs="Times New Roman"/>
        </w:rPr>
        <w:t xml:space="preserve"> </w:t>
      </w:r>
      <w:r w:rsidR="00705B07">
        <w:rPr>
          <w:rFonts w:ascii="Times New Roman" w:hAnsi="Times New Roman" w:cs="Times New Roman"/>
        </w:rPr>
        <w:t xml:space="preserve">Violence and Harassment </w:t>
      </w:r>
      <w:r w:rsidRPr="00591BF7">
        <w:rPr>
          <w:rFonts w:ascii="Times New Roman" w:hAnsi="Times New Roman" w:cs="Times New Roman"/>
          <w:lang w:val="en-US"/>
        </w:rPr>
        <w:t xml:space="preserve">Recommendation </w:t>
      </w:r>
      <w:r w:rsidR="00705B07">
        <w:rPr>
          <w:rFonts w:ascii="Times New Roman" w:hAnsi="Times New Roman" w:cs="Times New Roman"/>
          <w:lang w:val="en-US"/>
        </w:rPr>
        <w:t xml:space="preserve">(No. </w:t>
      </w:r>
      <w:r w:rsidRPr="00591BF7">
        <w:rPr>
          <w:rFonts w:ascii="Times New Roman" w:hAnsi="Times New Roman" w:cs="Times New Roman"/>
          <w:lang w:val="en-US"/>
        </w:rPr>
        <w:t>206</w:t>
      </w:r>
      <w:r w:rsidR="00705B07">
        <w:rPr>
          <w:rFonts w:ascii="Times New Roman" w:hAnsi="Times New Roman" w:cs="Times New Roman"/>
          <w:lang w:val="en-US"/>
        </w:rPr>
        <w:t>)</w:t>
      </w:r>
      <w:r w:rsidRPr="00591BF7">
        <w:rPr>
          <w:rFonts w:ascii="Times New Roman" w:hAnsi="Times New Roman" w:cs="Times New Roman"/>
          <w:lang w:val="en-US"/>
        </w:rPr>
        <w:t xml:space="preserve">, </w:t>
      </w:r>
      <w:r w:rsidR="00705B07">
        <w:rPr>
          <w:rFonts w:ascii="Times New Roman" w:hAnsi="Times New Roman" w:cs="Times New Roman"/>
          <w:lang w:val="en-US"/>
        </w:rPr>
        <w:t>art</w:t>
      </w:r>
      <w:r w:rsidRPr="00591BF7">
        <w:rPr>
          <w:rFonts w:ascii="Times New Roman" w:hAnsi="Times New Roman" w:cs="Times New Roman"/>
          <w:lang w:val="en-US"/>
        </w:rPr>
        <w:t xml:space="preserve"> 7.</w:t>
      </w:r>
    </w:p>
  </w:footnote>
  <w:footnote w:id="15">
    <w:p w14:paraId="561CCBE3" w14:textId="34CD1652" w:rsidR="00253FD8" w:rsidRPr="00253FD8" w:rsidRDefault="00253FD8">
      <w:pPr>
        <w:pStyle w:val="FootnoteText"/>
        <w:rPr>
          <w:rFonts w:ascii="Times New Roman" w:hAnsi="Times New Roman" w:cs="Times New Roman"/>
          <w:lang w:val="en-US"/>
        </w:rPr>
      </w:pPr>
      <w:r w:rsidRPr="00253FD8">
        <w:rPr>
          <w:rStyle w:val="FootnoteReference"/>
          <w:rFonts w:ascii="Times New Roman" w:hAnsi="Times New Roman" w:cs="Times New Roman"/>
        </w:rPr>
        <w:footnoteRef/>
      </w:r>
      <w:r w:rsidRPr="00253FD8">
        <w:rPr>
          <w:rFonts w:ascii="Times New Roman" w:hAnsi="Times New Roman" w:cs="Times New Roman"/>
        </w:rPr>
        <w:t xml:space="preserve"> </w:t>
      </w:r>
      <w:r w:rsidR="00705B07">
        <w:rPr>
          <w:rFonts w:ascii="Times New Roman" w:hAnsi="Times New Roman" w:cs="Times New Roman"/>
          <w:lang w:val="en-US"/>
        </w:rPr>
        <w:t>Recommendation No. 206</w:t>
      </w:r>
      <w:r w:rsidRPr="00253FD8">
        <w:rPr>
          <w:rFonts w:ascii="Times New Roman" w:hAnsi="Times New Roman" w:cs="Times New Roman"/>
          <w:lang w:val="en-US"/>
        </w:rPr>
        <w:t xml:space="preserve">, </w:t>
      </w:r>
      <w:r w:rsidR="00D13075">
        <w:rPr>
          <w:rFonts w:ascii="Times New Roman" w:hAnsi="Times New Roman" w:cs="Times New Roman"/>
          <w:lang w:val="en-US"/>
        </w:rPr>
        <w:t>para</w:t>
      </w:r>
      <w:r w:rsidRPr="00253FD8">
        <w:rPr>
          <w:rFonts w:ascii="Times New Roman" w:hAnsi="Times New Roman" w:cs="Times New Roman"/>
          <w:lang w:val="en-US"/>
        </w:rPr>
        <w:t xml:space="preserve"> 8.</w:t>
      </w:r>
    </w:p>
  </w:footnote>
  <w:footnote w:id="16">
    <w:p w14:paraId="514610F9" w14:textId="3263ABDA" w:rsidR="00E211CC" w:rsidRPr="00E211CC" w:rsidRDefault="00E211CC">
      <w:pPr>
        <w:pStyle w:val="FootnoteText"/>
        <w:rPr>
          <w:rFonts w:ascii="Times New Roman" w:hAnsi="Times New Roman" w:cs="Times New Roman"/>
          <w:lang w:val="en-US"/>
        </w:rPr>
      </w:pPr>
      <w:r w:rsidRPr="00E211CC">
        <w:rPr>
          <w:rStyle w:val="FootnoteReference"/>
          <w:rFonts w:ascii="Times New Roman" w:hAnsi="Times New Roman" w:cs="Times New Roman"/>
        </w:rPr>
        <w:footnoteRef/>
      </w:r>
      <w:r w:rsidRPr="00E211CC">
        <w:rPr>
          <w:rFonts w:ascii="Times New Roman" w:hAnsi="Times New Roman" w:cs="Times New Roman"/>
        </w:rPr>
        <w:t xml:space="preserve"> Domestic Violence – Victims Protection Act 2018.</w:t>
      </w:r>
    </w:p>
  </w:footnote>
  <w:footnote w:id="17">
    <w:p w14:paraId="1B3F9A24" w14:textId="6227EF5B" w:rsidR="00DF46E6" w:rsidRPr="005C598C" w:rsidRDefault="00DF46E6">
      <w:pPr>
        <w:pStyle w:val="FootnoteText"/>
        <w:rPr>
          <w:rFonts w:ascii="Times New Roman" w:hAnsi="Times New Roman" w:cs="Times New Roman"/>
          <w:lang w:val="en-US"/>
        </w:rPr>
      </w:pPr>
      <w:r w:rsidRPr="005C598C">
        <w:rPr>
          <w:rStyle w:val="FootnoteReference"/>
          <w:rFonts w:ascii="Times New Roman" w:hAnsi="Times New Roman" w:cs="Times New Roman"/>
        </w:rPr>
        <w:footnoteRef/>
      </w:r>
      <w:r w:rsidRPr="005C598C">
        <w:rPr>
          <w:rFonts w:ascii="Times New Roman" w:hAnsi="Times New Roman" w:cs="Times New Roman"/>
        </w:rPr>
        <w:t xml:space="preserve"> </w:t>
      </w:r>
      <w:r w:rsidRPr="00705B07">
        <w:rPr>
          <w:rFonts w:ascii="Times New Roman" w:hAnsi="Times New Roman" w:cs="Times New Roman"/>
          <w:i/>
          <w:iCs/>
          <w:lang w:val="en-US"/>
        </w:rPr>
        <w:t xml:space="preserve">Facilitator Guide </w:t>
      </w:r>
      <w:r w:rsidRPr="005C598C">
        <w:rPr>
          <w:rFonts w:ascii="Times New Roman" w:hAnsi="Times New Roman" w:cs="Times New Roman"/>
          <w:lang w:val="en-US"/>
        </w:rPr>
        <w:t>at 42.</w:t>
      </w:r>
    </w:p>
  </w:footnote>
  <w:footnote w:id="18">
    <w:p w14:paraId="429C9C11" w14:textId="482F7679" w:rsidR="00A03F56" w:rsidRPr="005C598C" w:rsidRDefault="00A03F56">
      <w:pPr>
        <w:pStyle w:val="FootnoteText"/>
        <w:rPr>
          <w:rFonts w:ascii="Times New Roman" w:hAnsi="Times New Roman" w:cs="Times New Roman"/>
          <w:lang w:val="en-US"/>
        </w:rPr>
      </w:pPr>
      <w:r w:rsidRPr="005C598C">
        <w:rPr>
          <w:rStyle w:val="FootnoteReference"/>
          <w:rFonts w:ascii="Times New Roman" w:hAnsi="Times New Roman" w:cs="Times New Roman"/>
        </w:rPr>
        <w:footnoteRef/>
      </w:r>
      <w:r w:rsidRPr="005C598C">
        <w:rPr>
          <w:rFonts w:ascii="Times New Roman" w:hAnsi="Times New Roman" w:cs="Times New Roman"/>
        </w:rPr>
        <w:t xml:space="preserve"> </w:t>
      </w:r>
      <w:r w:rsidRPr="005C598C">
        <w:rPr>
          <w:rFonts w:ascii="Times New Roman" w:hAnsi="Times New Roman" w:cs="Times New Roman"/>
          <w:lang w:val="en-US"/>
        </w:rPr>
        <w:t xml:space="preserve">Recommendation </w:t>
      </w:r>
      <w:r w:rsidR="00705B07">
        <w:rPr>
          <w:rFonts w:ascii="Times New Roman" w:hAnsi="Times New Roman" w:cs="Times New Roman"/>
          <w:lang w:val="en-US"/>
        </w:rPr>
        <w:t xml:space="preserve">No. </w:t>
      </w:r>
      <w:r w:rsidRPr="005C598C">
        <w:rPr>
          <w:rFonts w:ascii="Times New Roman" w:hAnsi="Times New Roman" w:cs="Times New Roman"/>
          <w:lang w:val="en-US"/>
        </w:rPr>
        <w:t>206</w:t>
      </w:r>
      <w:r w:rsidR="00705B07">
        <w:rPr>
          <w:rFonts w:ascii="Times New Roman" w:hAnsi="Times New Roman" w:cs="Times New Roman"/>
          <w:lang w:val="en-US"/>
        </w:rPr>
        <w:t>,</w:t>
      </w:r>
      <w:r w:rsidRPr="005C598C">
        <w:rPr>
          <w:rFonts w:ascii="Times New Roman" w:hAnsi="Times New Roman" w:cs="Times New Roman"/>
          <w:lang w:val="en-US"/>
        </w:rPr>
        <w:t xml:space="preserve"> </w:t>
      </w:r>
      <w:r w:rsidR="00D13075">
        <w:rPr>
          <w:rFonts w:ascii="Times New Roman" w:hAnsi="Times New Roman" w:cs="Times New Roman"/>
          <w:lang w:val="en-US"/>
        </w:rPr>
        <w:t>para</w:t>
      </w:r>
      <w:r w:rsidR="008F5411">
        <w:rPr>
          <w:rFonts w:ascii="Times New Roman" w:hAnsi="Times New Roman" w:cs="Times New Roman"/>
          <w:lang w:val="en-US"/>
        </w:rPr>
        <w:t xml:space="preserve"> </w:t>
      </w:r>
      <w:r w:rsidRPr="005C598C">
        <w:rPr>
          <w:rFonts w:ascii="Times New Roman" w:hAnsi="Times New Roman" w:cs="Times New Roman"/>
          <w:lang w:val="en-US"/>
        </w:rPr>
        <w:t>16.</w:t>
      </w:r>
    </w:p>
  </w:footnote>
  <w:footnote w:id="19">
    <w:p w14:paraId="120DC077" w14:textId="4F61B6ED" w:rsidR="005C598C" w:rsidRPr="005C598C" w:rsidRDefault="005C598C">
      <w:pPr>
        <w:pStyle w:val="FootnoteText"/>
        <w:rPr>
          <w:lang w:val="en-US"/>
        </w:rPr>
      </w:pPr>
      <w:r w:rsidRPr="005C598C">
        <w:rPr>
          <w:rStyle w:val="FootnoteReference"/>
          <w:rFonts w:ascii="Times New Roman" w:hAnsi="Times New Roman" w:cs="Times New Roman"/>
        </w:rPr>
        <w:footnoteRef/>
      </w:r>
      <w:r w:rsidRPr="005C598C">
        <w:rPr>
          <w:rFonts w:ascii="Times New Roman" w:hAnsi="Times New Roman" w:cs="Times New Roman"/>
        </w:rPr>
        <w:t xml:space="preserve"> </w:t>
      </w:r>
      <w:r w:rsidRPr="00705B07">
        <w:rPr>
          <w:rFonts w:ascii="Times New Roman" w:hAnsi="Times New Roman" w:cs="Times New Roman"/>
          <w:i/>
          <w:iCs/>
          <w:lang w:val="en-US"/>
        </w:rPr>
        <w:t>Facilitator Guide</w:t>
      </w:r>
      <w:r w:rsidRPr="005C598C">
        <w:rPr>
          <w:rFonts w:ascii="Times New Roman" w:hAnsi="Times New Roman" w:cs="Times New Roman"/>
          <w:lang w:val="en-US"/>
        </w:rPr>
        <w:t xml:space="preserve"> at 43.</w:t>
      </w:r>
    </w:p>
  </w:footnote>
  <w:footnote w:id="20">
    <w:p w14:paraId="6E49CDF5" w14:textId="3CB22EB2" w:rsidR="005C598C" w:rsidRPr="005C598C" w:rsidRDefault="005C598C">
      <w:pPr>
        <w:pStyle w:val="FootnoteText"/>
        <w:rPr>
          <w:rFonts w:ascii="Times New Roman" w:hAnsi="Times New Roman" w:cs="Times New Roman"/>
          <w:lang w:val="en-US"/>
        </w:rPr>
      </w:pPr>
      <w:r w:rsidRPr="005C598C">
        <w:rPr>
          <w:rStyle w:val="FootnoteReference"/>
          <w:rFonts w:ascii="Times New Roman" w:hAnsi="Times New Roman" w:cs="Times New Roman"/>
        </w:rPr>
        <w:footnoteRef/>
      </w:r>
      <w:r w:rsidRPr="005C598C">
        <w:rPr>
          <w:rFonts w:ascii="Times New Roman" w:hAnsi="Times New Roman" w:cs="Times New Roman"/>
        </w:rPr>
        <w:t xml:space="preserve"> </w:t>
      </w:r>
      <w:r w:rsidRPr="00705B07">
        <w:rPr>
          <w:rFonts w:ascii="Times New Roman" w:hAnsi="Times New Roman" w:cs="Times New Roman"/>
          <w:i/>
          <w:iCs/>
          <w:lang w:val="en-US"/>
        </w:rPr>
        <w:t>Facilitator Guide</w:t>
      </w:r>
      <w:r w:rsidRPr="005C598C">
        <w:rPr>
          <w:rFonts w:ascii="Times New Roman" w:hAnsi="Times New Roman" w:cs="Times New Roman"/>
          <w:lang w:val="en-US"/>
        </w:rPr>
        <w:t xml:space="preserve"> at 52.</w:t>
      </w:r>
    </w:p>
  </w:footnote>
  <w:footnote w:id="21">
    <w:p w14:paraId="4F68D3B6" w14:textId="64D6CF08" w:rsidR="002E5F18" w:rsidRPr="00DC0799" w:rsidRDefault="002E5F18">
      <w:pPr>
        <w:pStyle w:val="FootnoteText"/>
        <w:rPr>
          <w:rFonts w:ascii="Times New Roman" w:hAnsi="Times New Roman" w:cs="Times New Roman"/>
          <w:lang w:val="en-US"/>
        </w:rPr>
      </w:pPr>
      <w:r w:rsidRPr="00DC0799">
        <w:rPr>
          <w:rStyle w:val="FootnoteReference"/>
          <w:rFonts w:ascii="Times New Roman" w:hAnsi="Times New Roman" w:cs="Times New Roman"/>
        </w:rPr>
        <w:footnoteRef/>
      </w:r>
      <w:r w:rsidRPr="00DC0799">
        <w:rPr>
          <w:rFonts w:ascii="Times New Roman" w:hAnsi="Times New Roman" w:cs="Times New Roman"/>
        </w:rPr>
        <w:t xml:space="preserve"> </w:t>
      </w:r>
      <w:r w:rsidRPr="00DC0799">
        <w:rPr>
          <w:rFonts w:ascii="Times New Roman" w:hAnsi="Times New Roman" w:cs="Times New Roman"/>
          <w:lang w:val="en-US"/>
        </w:rPr>
        <w:t>Convention No. 111, art 3.</w:t>
      </w:r>
    </w:p>
  </w:footnote>
  <w:footnote w:id="22">
    <w:p w14:paraId="3BCD7B6B" w14:textId="7FD646F3" w:rsidR="00DC0799" w:rsidRPr="00DC0799" w:rsidRDefault="00DC0799">
      <w:pPr>
        <w:pStyle w:val="FootnoteText"/>
        <w:rPr>
          <w:lang w:val="en-US"/>
        </w:rPr>
      </w:pPr>
      <w:r w:rsidRPr="00DC0799">
        <w:rPr>
          <w:rStyle w:val="FootnoteReference"/>
          <w:rFonts w:ascii="Times New Roman" w:hAnsi="Times New Roman" w:cs="Times New Roman"/>
        </w:rPr>
        <w:footnoteRef/>
      </w:r>
      <w:r w:rsidRPr="00DC0799">
        <w:rPr>
          <w:rFonts w:ascii="Times New Roman" w:hAnsi="Times New Roman" w:cs="Times New Roman"/>
        </w:rPr>
        <w:t xml:space="preserve"> </w:t>
      </w:r>
      <w:r w:rsidRPr="00DC0799">
        <w:rPr>
          <w:rFonts w:ascii="Times New Roman" w:hAnsi="Times New Roman" w:cs="Times New Roman"/>
          <w:lang w:val="en-US"/>
        </w:rPr>
        <w:t>Convention No. 111, art 2.</w:t>
      </w:r>
    </w:p>
  </w:footnote>
  <w:footnote w:id="23">
    <w:p w14:paraId="6234A598" w14:textId="7A9A203B" w:rsidR="006D20BE" w:rsidRPr="00036D80" w:rsidRDefault="006D20BE">
      <w:pPr>
        <w:pStyle w:val="FootnoteText"/>
        <w:rPr>
          <w:rFonts w:ascii="Times New Roman" w:hAnsi="Times New Roman" w:cs="Times New Roman"/>
          <w:lang w:val="en-US"/>
        </w:rPr>
      </w:pPr>
      <w:r w:rsidRPr="00036D80">
        <w:rPr>
          <w:rStyle w:val="FootnoteReference"/>
          <w:rFonts w:ascii="Times New Roman" w:hAnsi="Times New Roman" w:cs="Times New Roman"/>
        </w:rPr>
        <w:footnoteRef/>
      </w:r>
      <w:r w:rsidRPr="00036D80">
        <w:rPr>
          <w:rFonts w:ascii="Times New Roman" w:hAnsi="Times New Roman" w:cs="Times New Roman"/>
        </w:rPr>
        <w:t xml:space="preserve"> </w:t>
      </w:r>
      <w:r w:rsidR="00036D80" w:rsidRPr="00036D80">
        <w:rPr>
          <w:rFonts w:ascii="Times New Roman" w:hAnsi="Times New Roman" w:cs="Times New Roman"/>
          <w:i/>
          <w:iCs/>
        </w:rPr>
        <w:t xml:space="preserve">ILO Committee of Experts on the Application of Conventions and Recommendations (CEACR) </w:t>
      </w:r>
      <w:r w:rsidRPr="00036D80">
        <w:rPr>
          <w:rFonts w:ascii="Times New Roman" w:hAnsi="Times New Roman" w:cs="Times New Roman"/>
          <w:i/>
          <w:iCs/>
          <w:lang w:val="en-US"/>
        </w:rPr>
        <w:t>Direct Reques</w:t>
      </w:r>
      <w:r w:rsidR="00CA420F">
        <w:rPr>
          <w:rFonts w:ascii="Times New Roman" w:hAnsi="Times New Roman" w:cs="Times New Roman"/>
          <w:i/>
          <w:iCs/>
          <w:lang w:val="en-US"/>
        </w:rPr>
        <w:t xml:space="preserve">t </w:t>
      </w:r>
      <w:r w:rsidR="00CA420F" w:rsidRPr="00CA420F">
        <w:rPr>
          <w:rFonts w:ascii="Times New Roman" w:hAnsi="Times New Roman" w:cs="Times New Roman"/>
          <w:lang w:val="en-US"/>
        </w:rPr>
        <w:t>[2020</w:t>
      </w:r>
      <w:r w:rsidR="00CA420F">
        <w:rPr>
          <w:rFonts w:ascii="Times New Roman" w:hAnsi="Times New Roman" w:cs="Times New Roman"/>
          <w:lang w:val="en-US"/>
        </w:rPr>
        <w:t>]</w:t>
      </w:r>
      <w:r w:rsidRPr="00036D80">
        <w:rPr>
          <w:rFonts w:ascii="Times New Roman" w:hAnsi="Times New Roman" w:cs="Times New Roman"/>
          <w:lang w:val="en-US"/>
        </w:rPr>
        <w:t xml:space="preserve"> published </w:t>
      </w:r>
      <w:r w:rsidR="00036D80">
        <w:rPr>
          <w:rFonts w:ascii="Times New Roman" w:hAnsi="Times New Roman" w:cs="Times New Roman"/>
          <w:lang w:val="en-US"/>
        </w:rPr>
        <w:t xml:space="preserve">at </w:t>
      </w:r>
      <w:r w:rsidRPr="00036D80">
        <w:rPr>
          <w:rFonts w:ascii="Times New Roman" w:hAnsi="Times New Roman" w:cs="Times New Roman"/>
          <w:lang w:val="en-US"/>
        </w:rPr>
        <w:t>109</w:t>
      </w:r>
      <w:r w:rsidRPr="00036D80">
        <w:rPr>
          <w:rFonts w:ascii="Times New Roman" w:hAnsi="Times New Roman" w:cs="Times New Roman"/>
          <w:vertAlign w:val="superscript"/>
          <w:lang w:val="en-US"/>
        </w:rPr>
        <w:t>th</w:t>
      </w:r>
      <w:r w:rsidRPr="00036D80">
        <w:rPr>
          <w:rFonts w:ascii="Times New Roman" w:hAnsi="Times New Roman" w:cs="Times New Roman"/>
          <w:lang w:val="en-US"/>
        </w:rPr>
        <w:t xml:space="preserve"> ILC </w:t>
      </w:r>
      <w:r w:rsidR="00036D80" w:rsidRPr="00036D80">
        <w:rPr>
          <w:rFonts w:ascii="Times New Roman" w:hAnsi="Times New Roman" w:cs="Times New Roman"/>
          <w:lang w:val="en-US"/>
        </w:rPr>
        <w:t>Se</w:t>
      </w:r>
      <w:r w:rsidRPr="00036D80">
        <w:rPr>
          <w:rFonts w:ascii="Times New Roman" w:hAnsi="Times New Roman" w:cs="Times New Roman"/>
          <w:lang w:val="en-US"/>
        </w:rPr>
        <w:t>ssion 2021</w:t>
      </w:r>
      <w:r w:rsidR="00036D80">
        <w:rPr>
          <w:rFonts w:ascii="Times New Roman" w:hAnsi="Times New Roman" w:cs="Times New Roman"/>
          <w:lang w:val="en-US"/>
        </w:rPr>
        <w:t>.</w:t>
      </w:r>
    </w:p>
  </w:footnote>
  <w:footnote w:id="24">
    <w:p w14:paraId="1A1503DF" w14:textId="485A3BE1" w:rsidR="00B722DE" w:rsidRPr="00CA420F" w:rsidRDefault="00B722DE">
      <w:pPr>
        <w:pStyle w:val="FootnoteText"/>
        <w:rPr>
          <w:rFonts w:ascii="Times New Roman" w:hAnsi="Times New Roman" w:cs="Times New Roman"/>
          <w:lang w:val="en-NZ"/>
        </w:rPr>
      </w:pPr>
      <w:r w:rsidRPr="00036D80">
        <w:rPr>
          <w:rStyle w:val="FootnoteReference"/>
          <w:rFonts w:ascii="Times New Roman" w:hAnsi="Times New Roman" w:cs="Times New Roman"/>
        </w:rPr>
        <w:footnoteRef/>
      </w:r>
      <w:r w:rsidRPr="00036D80">
        <w:rPr>
          <w:rFonts w:ascii="Times New Roman" w:hAnsi="Times New Roman" w:cs="Times New Roman"/>
        </w:rPr>
        <w:t xml:space="preserve"> </w:t>
      </w:r>
      <w:r w:rsidR="00CA420F" w:rsidRPr="00CA420F">
        <w:rPr>
          <w:rFonts w:ascii="Times New Roman" w:hAnsi="Times New Roman" w:cs="Times New Roman"/>
          <w:i/>
          <w:iCs/>
        </w:rPr>
        <w:t>C</w:t>
      </w:r>
      <w:r w:rsidR="00CA420F" w:rsidRPr="00CA420F">
        <w:rPr>
          <w:rFonts w:ascii="Times New Roman" w:hAnsi="Times New Roman" w:cs="Times New Roman"/>
          <w:i/>
          <w:iCs/>
          <w:lang w:val="en-NZ"/>
        </w:rPr>
        <w:t>ommi</w:t>
      </w:r>
      <w:r w:rsidR="00CA420F">
        <w:rPr>
          <w:rFonts w:ascii="Times New Roman" w:hAnsi="Times New Roman" w:cs="Times New Roman"/>
          <w:i/>
          <w:iCs/>
          <w:lang w:val="en-NZ"/>
        </w:rPr>
        <w:t>tt</w:t>
      </w:r>
      <w:r w:rsidR="00CA420F" w:rsidRPr="00CA420F">
        <w:rPr>
          <w:rFonts w:ascii="Times New Roman" w:hAnsi="Times New Roman" w:cs="Times New Roman"/>
          <w:i/>
          <w:iCs/>
          <w:lang w:val="en-NZ"/>
        </w:rPr>
        <w:t xml:space="preserve">ee on the Elimination of Discrimination against Women Concluding </w:t>
      </w:r>
      <w:r w:rsidR="00F76020">
        <w:rPr>
          <w:rFonts w:ascii="Times New Roman" w:hAnsi="Times New Roman" w:cs="Times New Roman"/>
          <w:i/>
          <w:iCs/>
          <w:lang w:val="en-NZ"/>
        </w:rPr>
        <w:t>O</w:t>
      </w:r>
      <w:r w:rsidR="00CA420F" w:rsidRPr="00CA420F">
        <w:rPr>
          <w:rFonts w:ascii="Times New Roman" w:hAnsi="Times New Roman" w:cs="Times New Roman"/>
          <w:i/>
          <w:iCs/>
          <w:lang w:val="en-NZ"/>
        </w:rPr>
        <w:t xml:space="preserve">bservations on the </w:t>
      </w:r>
      <w:r w:rsidR="00F76020">
        <w:rPr>
          <w:rFonts w:ascii="Times New Roman" w:hAnsi="Times New Roman" w:cs="Times New Roman"/>
          <w:i/>
          <w:iCs/>
          <w:lang w:val="en-NZ"/>
        </w:rPr>
        <w:t>E</w:t>
      </w:r>
      <w:r w:rsidR="00CA420F" w:rsidRPr="00CA420F">
        <w:rPr>
          <w:rFonts w:ascii="Times New Roman" w:hAnsi="Times New Roman" w:cs="Times New Roman"/>
          <w:i/>
          <w:iCs/>
          <w:lang w:val="en-NZ"/>
        </w:rPr>
        <w:t xml:space="preserve">ighth </w:t>
      </w:r>
      <w:r w:rsidR="00F76020">
        <w:rPr>
          <w:rFonts w:ascii="Times New Roman" w:hAnsi="Times New Roman" w:cs="Times New Roman"/>
          <w:i/>
          <w:iCs/>
          <w:lang w:val="en-NZ"/>
        </w:rPr>
        <w:t>P</w:t>
      </w:r>
      <w:r w:rsidR="00CA420F" w:rsidRPr="00CA420F">
        <w:rPr>
          <w:rFonts w:ascii="Times New Roman" w:hAnsi="Times New Roman" w:cs="Times New Roman"/>
          <w:i/>
          <w:iCs/>
          <w:lang w:val="en-NZ"/>
        </w:rPr>
        <w:t xml:space="preserve">eriodic </w:t>
      </w:r>
      <w:r w:rsidR="00F76020">
        <w:rPr>
          <w:rFonts w:ascii="Times New Roman" w:hAnsi="Times New Roman" w:cs="Times New Roman"/>
          <w:i/>
          <w:iCs/>
          <w:lang w:val="en-NZ"/>
        </w:rPr>
        <w:t>R</w:t>
      </w:r>
      <w:r w:rsidR="00CA420F" w:rsidRPr="00CA420F">
        <w:rPr>
          <w:rFonts w:ascii="Times New Roman" w:hAnsi="Times New Roman" w:cs="Times New Roman"/>
          <w:i/>
          <w:iCs/>
          <w:lang w:val="en-NZ"/>
        </w:rPr>
        <w:t>eport of New Zealand</w:t>
      </w:r>
      <w:r w:rsidR="00CA420F">
        <w:rPr>
          <w:rFonts w:ascii="Times New Roman" w:hAnsi="Times New Roman" w:cs="Times New Roman"/>
          <w:i/>
          <w:iCs/>
          <w:lang w:val="en-NZ"/>
        </w:rPr>
        <w:t xml:space="preserve"> </w:t>
      </w:r>
      <w:r w:rsidR="00CA420F">
        <w:rPr>
          <w:rFonts w:ascii="Times New Roman" w:hAnsi="Times New Roman" w:cs="Times New Roman"/>
          <w:lang w:val="en-NZ"/>
        </w:rPr>
        <w:t xml:space="preserve">UN Doc </w:t>
      </w:r>
      <w:r w:rsidRPr="00036D80">
        <w:rPr>
          <w:rFonts w:ascii="Times New Roman" w:hAnsi="Times New Roman" w:cs="Times New Roman"/>
          <w:lang w:val="en-NZ"/>
        </w:rPr>
        <w:t>CEDAW/C/NZL/CO/8</w:t>
      </w:r>
      <w:r w:rsidR="00036D80" w:rsidRPr="00036D80">
        <w:rPr>
          <w:rFonts w:ascii="Times New Roman" w:hAnsi="Times New Roman" w:cs="Times New Roman"/>
          <w:lang w:val="en-NZ"/>
        </w:rPr>
        <w:t xml:space="preserve"> (</w:t>
      </w:r>
      <w:r w:rsidRPr="00036D80">
        <w:rPr>
          <w:rFonts w:ascii="Times New Roman" w:hAnsi="Times New Roman" w:cs="Times New Roman"/>
          <w:lang w:val="en-NZ"/>
        </w:rPr>
        <w:t>25 July 2018</w:t>
      </w:r>
      <w:r w:rsidR="00036D80" w:rsidRPr="00036D80">
        <w:rPr>
          <w:rFonts w:ascii="Times New Roman" w:hAnsi="Times New Roman" w:cs="Times New Roman"/>
          <w:lang w:val="en-NZ"/>
        </w:rPr>
        <w:t xml:space="preserve">) at </w:t>
      </w:r>
      <w:r w:rsidR="00F76020">
        <w:rPr>
          <w:rFonts w:ascii="Times New Roman" w:hAnsi="Times New Roman" w:cs="Times New Roman"/>
          <w:lang w:val="en-NZ"/>
        </w:rPr>
        <w:t>[</w:t>
      </w:r>
      <w:r w:rsidRPr="00036D80">
        <w:rPr>
          <w:rFonts w:ascii="Times New Roman" w:hAnsi="Times New Roman" w:cs="Times New Roman"/>
          <w:lang w:val="en-NZ"/>
        </w:rPr>
        <w:t>3</w:t>
      </w:r>
      <w:r w:rsidR="00CA420F">
        <w:rPr>
          <w:rFonts w:ascii="Times New Roman" w:hAnsi="Times New Roman" w:cs="Times New Roman"/>
          <w:lang w:val="en-NZ"/>
        </w:rPr>
        <w:t>5</w:t>
      </w:r>
      <w:r w:rsidR="00F76020">
        <w:rPr>
          <w:rFonts w:ascii="Times New Roman" w:hAnsi="Times New Roman" w:cs="Times New Roman"/>
          <w:lang w:val="en-NZ"/>
        </w:rPr>
        <w:t>]</w:t>
      </w:r>
      <w:r w:rsidR="00CA420F">
        <w:rPr>
          <w:rFonts w:ascii="Times New Roman" w:hAnsi="Times New Roman" w:cs="Times New Roman"/>
          <w:lang w:val="en-NZ"/>
        </w:rPr>
        <w:t>.</w:t>
      </w:r>
    </w:p>
  </w:footnote>
  <w:footnote w:id="25">
    <w:p w14:paraId="162826E7" w14:textId="56261D7F" w:rsidR="00DE3761" w:rsidRPr="00036D80" w:rsidRDefault="00DE3761">
      <w:pPr>
        <w:pStyle w:val="FootnoteText"/>
        <w:rPr>
          <w:rFonts w:ascii="Times New Roman" w:hAnsi="Times New Roman" w:cs="Times New Roman"/>
          <w:lang w:val="en-US"/>
        </w:rPr>
      </w:pPr>
      <w:r w:rsidRPr="00036D80">
        <w:rPr>
          <w:rStyle w:val="FootnoteReference"/>
          <w:rFonts w:ascii="Times New Roman" w:hAnsi="Times New Roman" w:cs="Times New Roman"/>
        </w:rPr>
        <w:footnoteRef/>
      </w:r>
      <w:r w:rsidRPr="00036D80">
        <w:rPr>
          <w:rFonts w:ascii="Times New Roman" w:hAnsi="Times New Roman" w:cs="Times New Roman"/>
        </w:rPr>
        <w:t xml:space="preserve"> </w:t>
      </w:r>
      <w:r w:rsidR="008F5411">
        <w:rPr>
          <w:rFonts w:ascii="Times New Roman" w:hAnsi="Times New Roman" w:cs="Times New Roman"/>
          <w:lang w:val="en-US"/>
        </w:rPr>
        <w:t>At</w:t>
      </w:r>
      <w:r w:rsidRPr="00036D80">
        <w:rPr>
          <w:rFonts w:ascii="Times New Roman" w:hAnsi="Times New Roman" w:cs="Times New Roman"/>
          <w:lang w:val="en-US"/>
        </w:rPr>
        <w:t xml:space="preserve"> </w:t>
      </w:r>
      <w:r w:rsidR="00F76020">
        <w:rPr>
          <w:rFonts w:ascii="Times New Roman" w:hAnsi="Times New Roman" w:cs="Times New Roman"/>
          <w:lang w:val="en-US"/>
        </w:rPr>
        <w:t>[</w:t>
      </w:r>
      <w:r w:rsidRPr="00036D80">
        <w:rPr>
          <w:rFonts w:ascii="Times New Roman" w:hAnsi="Times New Roman" w:cs="Times New Roman"/>
          <w:lang w:val="en-US"/>
        </w:rPr>
        <w:t>25(a)</w:t>
      </w:r>
      <w:r w:rsidR="00F76020">
        <w:rPr>
          <w:rFonts w:ascii="Times New Roman" w:hAnsi="Times New Roman" w:cs="Times New Roman"/>
          <w:lang w:val="en-US"/>
        </w:rPr>
        <w:t>]</w:t>
      </w:r>
      <w:r w:rsidRPr="00036D80">
        <w:rPr>
          <w:rFonts w:ascii="Times New Roman" w:hAnsi="Times New Roman" w:cs="Times New Roman"/>
          <w:lang w:val="en-US"/>
        </w:rPr>
        <w:t>.</w:t>
      </w:r>
    </w:p>
  </w:footnote>
  <w:footnote w:id="26">
    <w:p w14:paraId="3714EF08" w14:textId="52D8604F" w:rsidR="00524A0D" w:rsidRPr="005A6A61" w:rsidRDefault="00524A0D">
      <w:pPr>
        <w:pStyle w:val="FootnoteText"/>
        <w:rPr>
          <w:rFonts w:ascii="Times New Roman" w:hAnsi="Times New Roman" w:cs="Times New Roman"/>
          <w:lang w:val="en-US"/>
        </w:rPr>
      </w:pPr>
      <w:r w:rsidRPr="005A6A61">
        <w:rPr>
          <w:rStyle w:val="FootnoteReference"/>
          <w:rFonts w:ascii="Times New Roman" w:hAnsi="Times New Roman" w:cs="Times New Roman"/>
        </w:rPr>
        <w:footnoteRef/>
      </w:r>
      <w:r w:rsidR="005A6A61" w:rsidRPr="005A6A61">
        <w:rPr>
          <w:rFonts w:ascii="Times New Roman" w:hAnsi="Times New Roman" w:cs="Times New Roman"/>
        </w:rPr>
        <w:t xml:space="preserve"> Convention on the Elimination of All Forms of Discrimination against Women </w:t>
      </w:r>
      <w:r w:rsidR="005A6A61">
        <w:rPr>
          <w:rFonts w:ascii="Times New Roman" w:hAnsi="Times New Roman" w:cs="Times New Roman"/>
        </w:rPr>
        <w:t>(signe</w:t>
      </w:r>
      <w:r w:rsidR="00D87B21">
        <w:rPr>
          <w:rFonts w:ascii="Times New Roman" w:hAnsi="Times New Roman" w:cs="Times New Roman"/>
        </w:rPr>
        <w:t xml:space="preserve">d </w:t>
      </w:r>
      <w:r w:rsidR="005A6A61">
        <w:rPr>
          <w:rFonts w:ascii="Times New Roman" w:hAnsi="Times New Roman" w:cs="Times New Roman"/>
        </w:rPr>
        <w:t xml:space="preserve">18 December 1979, entered into force 3 September 1981), art </w:t>
      </w:r>
      <w:r w:rsidRPr="005A6A61">
        <w:rPr>
          <w:rFonts w:ascii="Times New Roman" w:hAnsi="Times New Roman" w:cs="Times New Roman"/>
          <w:lang w:val="en-US"/>
        </w:rPr>
        <w:t>11(1).</w:t>
      </w:r>
    </w:p>
  </w:footnote>
  <w:footnote w:id="27">
    <w:p w14:paraId="21B67F52" w14:textId="007AF2A4" w:rsidR="00E63F85" w:rsidRPr="005A6A61" w:rsidRDefault="00E63F85">
      <w:pPr>
        <w:pStyle w:val="FootnoteText"/>
        <w:rPr>
          <w:rFonts w:ascii="Times New Roman" w:hAnsi="Times New Roman" w:cs="Times New Roman"/>
          <w:lang w:val="en-US"/>
        </w:rPr>
      </w:pPr>
      <w:r w:rsidRPr="005A6A61">
        <w:rPr>
          <w:rStyle w:val="FootnoteReference"/>
          <w:rFonts w:ascii="Times New Roman" w:hAnsi="Times New Roman" w:cs="Times New Roman"/>
        </w:rPr>
        <w:footnoteRef/>
      </w:r>
      <w:r w:rsidRPr="005A6A61">
        <w:rPr>
          <w:rFonts w:ascii="Times New Roman" w:hAnsi="Times New Roman" w:cs="Times New Roman"/>
        </w:rPr>
        <w:t xml:space="preserve"> </w:t>
      </w:r>
      <w:r w:rsidRPr="005A6A61">
        <w:rPr>
          <w:rFonts w:ascii="Times New Roman" w:hAnsi="Times New Roman" w:cs="Times New Roman"/>
          <w:lang w:val="en-US"/>
        </w:rPr>
        <w:t>Universal Declaration of Human Rights</w:t>
      </w:r>
      <w:r w:rsidR="00A00F78">
        <w:rPr>
          <w:rFonts w:ascii="Times New Roman" w:hAnsi="Times New Roman" w:cs="Times New Roman"/>
          <w:lang w:val="en-US"/>
        </w:rPr>
        <w:t xml:space="preserve"> (signed 10 December 1948), </w:t>
      </w:r>
      <w:r w:rsidRPr="005A6A61">
        <w:rPr>
          <w:rFonts w:ascii="Times New Roman" w:hAnsi="Times New Roman" w:cs="Times New Roman"/>
          <w:lang w:val="en-US"/>
        </w:rPr>
        <w:t>art 23.</w:t>
      </w:r>
    </w:p>
  </w:footnote>
  <w:footnote w:id="28">
    <w:p w14:paraId="3575AD35" w14:textId="4C1D9FAF" w:rsidR="00A937DF" w:rsidRPr="009D094A" w:rsidRDefault="00A937DF">
      <w:pPr>
        <w:pStyle w:val="FootnoteText"/>
        <w:rPr>
          <w:rFonts w:ascii="Times New Roman" w:hAnsi="Times New Roman" w:cs="Times New Roman"/>
          <w:lang w:val="en-US"/>
        </w:rPr>
      </w:pPr>
      <w:r w:rsidRPr="009D094A">
        <w:rPr>
          <w:rStyle w:val="FootnoteReference"/>
          <w:rFonts w:ascii="Times New Roman" w:hAnsi="Times New Roman" w:cs="Times New Roman"/>
        </w:rPr>
        <w:footnoteRef/>
      </w:r>
      <w:r w:rsidRPr="009D094A">
        <w:rPr>
          <w:rFonts w:ascii="Times New Roman" w:hAnsi="Times New Roman" w:cs="Times New Roman"/>
        </w:rPr>
        <w:t xml:space="preserve"> </w:t>
      </w:r>
      <w:r w:rsidRPr="009D094A">
        <w:rPr>
          <w:rFonts w:ascii="Times New Roman" w:hAnsi="Times New Roman" w:cs="Times New Roman"/>
          <w:lang w:val="en-US"/>
        </w:rPr>
        <w:t>See Human Rights Act 1993, s 22</w:t>
      </w:r>
      <w:r w:rsidR="00B42E49">
        <w:rPr>
          <w:rFonts w:ascii="Times New Roman" w:hAnsi="Times New Roman" w:cs="Times New Roman"/>
          <w:lang w:val="en-US"/>
        </w:rPr>
        <w:t>,</w:t>
      </w:r>
      <w:r w:rsidRPr="00330B36">
        <w:rPr>
          <w:rFonts w:ascii="Times New Roman" w:hAnsi="Times New Roman" w:cs="Times New Roman"/>
          <w:lang w:val="en-US"/>
        </w:rPr>
        <w:t xml:space="preserve"> and </w:t>
      </w:r>
      <w:r w:rsidRPr="00330B36">
        <w:rPr>
          <w:rFonts w:ascii="Times New Roman" w:hAnsi="Times New Roman" w:cs="Times New Roman"/>
        </w:rPr>
        <w:t>International Labour Organization Discrimination (Employment and Occupation) Convention, 1958 (No. 111), art 1.</w:t>
      </w:r>
    </w:p>
  </w:footnote>
  <w:footnote w:id="29">
    <w:p w14:paraId="64D29238" w14:textId="4DCC983B" w:rsidR="000A4120" w:rsidRPr="005A6A61" w:rsidRDefault="000A4120">
      <w:pPr>
        <w:pStyle w:val="FootnoteText"/>
        <w:rPr>
          <w:rFonts w:ascii="Times New Roman" w:hAnsi="Times New Roman" w:cs="Times New Roman"/>
          <w:lang w:val="en-US"/>
        </w:rPr>
      </w:pPr>
      <w:r w:rsidRPr="005A6A61">
        <w:rPr>
          <w:rStyle w:val="FootnoteReference"/>
          <w:rFonts w:ascii="Times New Roman" w:hAnsi="Times New Roman" w:cs="Times New Roman"/>
        </w:rPr>
        <w:footnoteRef/>
      </w:r>
      <w:r w:rsidRPr="005A6A61">
        <w:rPr>
          <w:rFonts w:ascii="Times New Roman" w:hAnsi="Times New Roman" w:cs="Times New Roman"/>
        </w:rPr>
        <w:t xml:space="preserve"> </w:t>
      </w:r>
      <w:r w:rsidRPr="005A6A61">
        <w:rPr>
          <w:rFonts w:ascii="Times New Roman" w:hAnsi="Times New Roman" w:cs="Times New Roman"/>
          <w:i/>
          <w:iCs/>
          <w:lang w:val="en-US"/>
        </w:rPr>
        <w:t xml:space="preserve">National Standards Committee v Gardner-Hopkins </w:t>
      </w:r>
      <w:r w:rsidRPr="005A6A61">
        <w:rPr>
          <w:rFonts w:ascii="Times New Roman" w:hAnsi="Times New Roman" w:cs="Times New Roman"/>
          <w:lang w:val="en-NZ"/>
        </w:rPr>
        <w:t>[2021] NZLCDT 21.</w:t>
      </w:r>
    </w:p>
  </w:footnote>
  <w:footnote w:id="30">
    <w:p w14:paraId="69F89A65" w14:textId="32290D64" w:rsidR="00B76687" w:rsidRPr="00A57314" w:rsidRDefault="00B76687">
      <w:pPr>
        <w:pStyle w:val="FootnoteText"/>
        <w:rPr>
          <w:rFonts w:ascii="Times New Roman" w:hAnsi="Times New Roman" w:cs="Times New Roman"/>
          <w:lang w:val="en-NZ"/>
        </w:rPr>
      </w:pPr>
      <w:r w:rsidRPr="005A6A61">
        <w:rPr>
          <w:rStyle w:val="FootnoteReference"/>
          <w:rFonts w:ascii="Times New Roman" w:hAnsi="Times New Roman" w:cs="Times New Roman"/>
        </w:rPr>
        <w:footnoteRef/>
      </w:r>
      <w:r w:rsidR="00A57314">
        <w:rPr>
          <w:rFonts w:ascii="Times New Roman" w:hAnsi="Times New Roman" w:cs="Times New Roman"/>
        </w:rPr>
        <w:t xml:space="preserve"> PSA “</w:t>
      </w:r>
      <w:r w:rsidR="00A57314" w:rsidRPr="00A57314">
        <w:rPr>
          <w:rFonts w:ascii="Times New Roman" w:hAnsi="Times New Roman" w:cs="Times New Roman"/>
          <w:lang w:val="en-NZ"/>
        </w:rPr>
        <w:t>At home or at work, violence is never OK - Ratify ILO Convention 190</w:t>
      </w:r>
      <w:r w:rsidR="00A57314">
        <w:rPr>
          <w:rFonts w:ascii="Times New Roman" w:hAnsi="Times New Roman" w:cs="Times New Roman"/>
          <w:lang w:val="en-NZ"/>
        </w:rPr>
        <w:t xml:space="preserve">” (25 November 2020) </w:t>
      </w:r>
      <w:r w:rsidR="00A57314" w:rsidRPr="00A57314">
        <w:rPr>
          <w:rFonts w:ascii="Times New Roman" w:hAnsi="Times New Roman" w:cs="Times New Roman"/>
          <w:lang w:val="en-NZ"/>
        </w:rPr>
        <w:t xml:space="preserve">New Zealand Public Service Association Te </w:t>
      </w:r>
      <w:proofErr w:type="spellStart"/>
      <w:r w:rsidR="00A57314" w:rsidRPr="00A57314">
        <w:rPr>
          <w:rFonts w:ascii="Times New Roman" w:hAnsi="Times New Roman" w:cs="Times New Roman"/>
          <w:lang w:val="en-NZ"/>
        </w:rPr>
        <w:t>Pūkenga</w:t>
      </w:r>
      <w:proofErr w:type="spellEnd"/>
      <w:r w:rsidR="00A57314" w:rsidRPr="00A57314">
        <w:rPr>
          <w:rFonts w:ascii="Times New Roman" w:hAnsi="Times New Roman" w:cs="Times New Roman"/>
          <w:lang w:val="en-NZ"/>
        </w:rPr>
        <w:t xml:space="preserve"> Here Tikanga Mahi</w:t>
      </w:r>
      <w:r w:rsidR="00A57314">
        <w:rPr>
          <w:rFonts w:ascii="Times New Roman" w:hAnsi="Times New Roman" w:cs="Times New Roman"/>
          <w:lang w:val="en-NZ"/>
        </w:rPr>
        <w:t xml:space="preserve"> &lt;</w:t>
      </w:r>
      <w:hyperlink r:id="rId1" w:history="1">
        <w:r w:rsidR="00A57314" w:rsidRPr="00064CF9">
          <w:rPr>
            <w:rStyle w:val="Hyperlink"/>
            <w:rFonts w:ascii="Times New Roman" w:hAnsi="Times New Roman" w:cs="Times New Roman"/>
            <w:lang w:val="en-NZ"/>
          </w:rPr>
          <w:t>https://www.psa.org.nz/media/releases/at-home-or-at-work-violence-is-never-ok-ratify-ilo-convention-190/</w:t>
        </w:r>
      </w:hyperlink>
      <w:r w:rsidR="00A57314">
        <w:rPr>
          <w:rFonts w:ascii="Times New Roman" w:hAnsi="Times New Roman" w:cs="Times New Roman"/>
          <w:lang w:val="en-NZ"/>
        </w:rPr>
        <w:t>&gt;.</w:t>
      </w:r>
    </w:p>
  </w:footnote>
  <w:footnote w:id="31">
    <w:p w14:paraId="634EAE30" w14:textId="379D640F" w:rsidR="00DE1580" w:rsidRPr="0043454B" w:rsidRDefault="00DE1580">
      <w:pPr>
        <w:pStyle w:val="FootnoteText"/>
        <w:rPr>
          <w:rFonts w:ascii="Times New Roman" w:hAnsi="Times New Roman" w:cs="Times New Roman"/>
          <w:b/>
          <w:bCs/>
          <w:lang w:val="en-NZ"/>
        </w:rPr>
      </w:pPr>
      <w:r w:rsidRPr="00E8775D">
        <w:rPr>
          <w:rStyle w:val="FootnoteReference"/>
          <w:rFonts w:ascii="Times New Roman" w:hAnsi="Times New Roman" w:cs="Times New Roman"/>
        </w:rPr>
        <w:footnoteRef/>
      </w:r>
      <w:r w:rsidR="00E8775D">
        <w:rPr>
          <w:rFonts w:ascii="Times New Roman" w:hAnsi="Times New Roman" w:cs="Times New Roman"/>
        </w:rPr>
        <w:t xml:space="preserve"> Stats NZ “</w:t>
      </w:r>
      <w:r w:rsidR="00E8775D" w:rsidRPr="00E8775D">
        <w:rPr>
          <w:rFonts w:ascii="Times New Roman" w:hAnsi="Times New Roman" w:cs="Times New Roman"/>
          <w:lang w:val="en-NZ"/>
        </w:rPr>
        <w:t>One in 10 workers feels discriminated against, harassed, or bullied at work</w:t>
      </w:r>
      <w:r w:rsidR="00E8775D">
        <w:rPr>
          <w:rFonts w:ascii="Times New Roman" w:hAnsi="Times New Roman" w:cs="Times New Roman"/>
          <w:lang w:val="en-NZ"/>
        </w:rPr>
        <w:t>” (</w:t>
      </w:r>
      <w:r w:rsidR="0043454B">
        <w:rPr>
          <w:rFonts w:ascii="Times New Roman" w:hAnsi="Times New Roman" w:cs="Times New Roman"/>
          <w:lang w:val="en-NZ"/>
        </w:rPr>
        <w:t>21 June 2019) Stats NZ &lt;</w:t>
      </w:r>
      <w:hyperlink r:id="rId2" w:history="1">
        <w:r w:rsidR="0043454B" w:rsidRPr="00064CF9">
          <w:rPr>
            <w:rStyle w:val="Hyperlink"/>
            <w:rFonts w:ascii="Times New Roman" w:hAnsi="Times New Roman" w:cs="Times New Roman"/>
            <w:lang w:val="en-NZ"/>
          </w:rPr>
          <w:t>https://www.stats.govt.nz/news/one-in-10-workers-feels-discriminated-against-harassed-or-bullied-at-work</w:t>
        </w:r>
      </w:hyperlink>
      <w:r w:rsidR="0043454B">
        <w:rPr>
          <w:rFonts w:ascii="Times New Roman" w:hAnsi="Times New Roman" w:cs="Times New Roman"/>
          <w:lang w:val="en-NZ"/>
        </w:rPr>
        <w:t>&gt;.</w:t>
      </w:r>
    </w:p>
  </w:footnote>
  <w:footnote w:id="32">
    <w:p w14:paraId="51AA3B97" w14:textId="320B95AB" w:rsidR="00DE1580" w:rsidRPr="00DE1580" w:rsidRDefault="00DE1580">
      <w:pPr>
        <w:pStyle w:val="FootnoteText"/>
        <w:rPr>
          <w:rFonts w:ascii="Times New Roman" w:hAnsi="Times New Roman" w:cs="Times New Roman"/>
          <w:lang w:val="en-US"/>
        </w:rPr>
      </w:pPr>
      <w:r w:rsidRPr="00E8775D">
        <w:rPr>
          <w:rStyle w:val="FootnoteReference"/>
          <w:rFonts w:ascii="Times New Roman" w:hAnsi="Times New Roman" w:cs="Times New Roman"/>
        </w:rPr>
        <w:footnoteRef/>
      </w:r>
      <w:r w:rsidRPr="00E8775D">
        <w:rPr>
          <w:rFonts w:ascii="Times New Roman" w:hAnsi="Times New Roman" w:cs="Times New Roman"/>
        </w:rPr>
        <w:t xml:space="preserve"> </w:t>
      </w:r>
      <w:r w:rsidRPr="00E8775D">
        <w:rPr>
          <w:rFonts w:ascii="Times New Roman" w:hAnsi="Times New Roman" w:cs="Times New Roman"/>
          <w:lang w:val="en-US"/>
        </w:rPr>
        <w:t xml:space="preserve">Recommendation </w:t>
      </w:r>
      <w:r w:rsidR="00D13075" w:rsidRPr="00E8775D">
        <w:rPr>
          <w:rFonts w:ascii="Times New Roman" w:hAnsi="Times New Roman" w:cs="Times New Roman"/>
          <w:lang w:val="en-US"/>
        </w:rPr>
        <w:t xml:space="preserve">No. </w:t>
      </w:r>
      <w:r w:rsidRPr="00E8775D">
        <w:rPr>
          <w:rFonts w:ascii="Times New Roman" w:hAnsi="Times New Roman" w:cs="Times New Roman"/>
          <w:lang w:val="en-US"/>
        </w:rPr>
        <w:t>206, para 9.</w:t>
      </w:r>
    </w:p>
  </w:footnote>
  <w:footnote w:id="33">
    <w:p w14:paraId="200C4E94" w14:textId="442E5AC8" w:rsidR="00114A74" w:rsidRPr="00CA7043" w:rsidRDefault="00114A74">
      <w:pPr>
        <w:pStyle w:val="FootnoteText"/>
        <w:rPr>
          <w:rFonts w:ascii="Times New Roman" w:hAnsi="Times New Roman" w:cs="Times New Roman"/>
          <w:lang w:val="en-NZ"/>
        </w:rPr>
      </w:pPr>
      <w:r w:rsidRPr="00114A74">
        <w:rPr>
          <w:rStyle w:val="FootnoteReference"/>
          <w:rFonts w:ascii="Times New Roman" w:hAnsi="Times New Roman" w:cs="Times New Roman"/>
        </w:rPr>
        <w:footnoteRef/>
      </w:r>
      <w:r w:rsidRPr="00114A74">
        <w:rPr>
          <w:rFonts w:ascii="Times New Roman" w:hAnsi="Times New Roman" w:cs="Times New Roman"/>
        </w:rPr>
        <w:t xml:space="preserve"> </w:t>
      </w:r>
      <w:r w:rsidR="00634E73" w:rsidRPr="00634E73">
        <w:rPr>
          <w:rFonts w:ascii="Times New Roman" w:hAnsi="Times New Roman" w:cs="Times New Roman"/>
          <w:i/>
          <w:iCs/>
          <w:lang w:val="en-NZ"/>
        </w:rPr>
        <w:t>Transforming our world: the 2030 Agenda for Sustainable Development</w:t>
      </w:r>
      <w:r w:rsidR="00634E73">
        <w:rPr>
          <w:rFonts w:ascii="Times New Roman" w:hAnsi="Times New Roman" w:cs="Times New Roman"/>
          <w:i/>
          <w:iCs/>
          <w:lang w:val="en-NZ"/>
        </w:rPr>
        <w:t xml:space="preserve"> </w:t>
      </w:r>
      <w:r w:rsidR="00634E73">
        <w:rPr>
          <w:rFonts w:ascii="Times New Roman" w:hAnsi="Times New Roman" w:cs="Times New Roman"/>
          <w:lang w:val="en-NZ"/>
        </w:rPr>
        <w:t>A/RES/70/1 (2015), at 19</w:t>
      </w:r>
      <w:r w:rsidR="00CA7043">
        <w:rPr>
          <w:rFonts w:ascii="Times New Roman" w:hAnsi="Times New Roman" w:cs="Times New Roman"/>
          <w:lang w:val="en-NZ"/>
        </w:rPr>
        <w:t>-20.</w:t>
      </w:r>
    </w:p>
  </w:footnote>
  <w:footnote w:id="34">
    <w:p w14:paraId="2A54DB8A" w14:textId="49C66D88" w:rsidR="00B31D9B" w:rsidRPr="00B31D9B" w:rsidRDefault="00B31D9B">
      <w:pPr>
        <w:pStyle w:val="FootnoteText"/>
        <w:rPr>
          <w:rFonts w:ascii="Times New Roman" w:hAnsi="Times New Roman" w:cs="Times New Roman"/>
          <w:lang w:val="en-US"/>
        </w:rPr>
      </w:pPr>
      <w:r w:rsidRPr="00B31D9B">
        <w:rPr>
          <w:rStyle w:val="FootnoteReference"/>
          <w:rFonts w:ascii="Times New Roman" w:hAnsi="Times New Roman" w:cs="Times New Roman"/>
        </w:rPr>
        <w:footnoteRef/>
      </w:r>
      <w:r w:rsidRPr="00B31D9B">
        <w:rPr>
          <w:rFonts w:ascii="Times New Roman" w:hAnsi="Times New Roman" w:cs="Times New Roman"/>
        </w:rPr>
        <w:t xml:space="preserve"> </w:t>
      </w:r>
      <w:r w:rsidRPr="00B31D9B">
        <w:rPr>
          <w:rFonts w:ascii="Times New Roman" w:hAnsi="Times New Roman" w:cs="Times New Roman"/>
          <w:i/>
          <w:iCs/>
          <w:lang w:val="en-US"/>
        </w:rPr>
        <w:t>Facilitato</w:t>
      </w:r>
      <w:r>
        <w:rPr>
          <w:rFonts w:ascii="Times New Roman" w:hAnsi="Times New Roman" w:cs="Times New Roman"/>
          <w:i/>
          <w:iCs/>
          <w:lang w:val="en-US"/>
        </w:rPr>
        <w:t>r</w:t>
      </w:r>
      <w:r w:rsidRPr="00B31D9B">
        <w:rPr>
          <w:rFonts w:ascii="Times New Roman" w:hAnsi="Times New Roman" w:cs="Times New Roman"/>
          <w:i/>
          <w:iCs/>
          <w:lang w:val="en-US"/>
        </w:rPr>
        <w:t xml:space="preserve"> Guide</w:t>
      </w:r>
      <w:r w:rsidRPr="00B31D9B">
        <w:rPr>
          <w:rFonts w:ascii="Times New Roman" w:hAnsi="Times New Roman" w:cs="Times New Roman"/>
          <w:lang w:val="en-US"/>
        </w:rPr>
        <w:t xml:space="preserve"> at 69.</w:t>
      </w:r>
    </w:p>
  </w:footnote>
  <w:footnote w:id="35">
    <w:p w14:paraId="2C8D5705" w14:textId="7DF6EDA6" w:rsidR="005C339E" w:rsidRPr="00BF764F" w:rsidRDefault="005C339E">
      <w:pPr>
        <w:pStyle w:val="FootnoteText"/>
        <w:rPr>
          <w:rFonts w:ascii="Times New Roman" w:hAnsi="Times New Roman" w:cs="Times New Roman"/>
          <w:lang w:val="en-US"/>
        </w:rPr>
      </w:pPr>
      <w:r w:rsidRPr="00BF764F">
        <w:rPr>
          <w:rStyle w:val="FootnoteReference"/>
          <w:rFonts w:ascii="Times New Roman" w:hAnsi="Times New Roman" w:cs="Times New Roman"/>
        </w:rPr>
        <w:footnoteRef/>
      </w:r>
      <w:r w:rsidR="00BF764F">
        <w:rPr>
          <w:rFonts w:ascii="Times New Roman" w:hAnsi="Times New Roman" w:cs="Times New Roman"/>
        </w:rPr>
        <w:t xml:space="preserve"> </w:t>
      </w:r>
      <w:r w:rsidR="00BF764F" w:rsidRPr="00BF764F">
        <w:rPr>
          <w:rFonts w:ascii="Times New Roman" w:hAnsi="Times New Roman" w:cs="Times New Roman"/>
          <w:i/>
          <w:iCs/>
        </w:rPr>
        <w:t>Briefing for the Incoming Minister for Workplace Relations and Safet</w:t>
      </w:r>
      <w:r w:rsidR="00BF764F">
        <w:rPr>
          <w:rFonts w:ascii="Times New Roman" w:hAnsi="Times New Roman" w:cs="Times New Roman"/>
          <w:i/>
          <w:iCs/>
        </w:rPr>
        <w:t xml:space="preserve">y </w:t>
      </w:r>
      <w:r w:rsidR="00BF764F">
        <w:rPr>
          <w:rFonts w:ascii="Times New Roman" w:hAnsi="Times New Roman" w:cs="Times New Roman"/>
        </w:rPr>
        <w:t>(Ministry of Business, Innovation &amp; Employment, November 2020) at</w:t>
      </w:r>
      <w:r w:rsidRPr="00BF764F">
        <w:rPr>
          <w:rFonts w:ascii="Times New Roman" w:hAnsi="Times New Roman" w:cs="Times New Roman"/>
        </w:rPr>
        <w:t xml:space="preserve"> </w:t>
      </w:r>
      <w:r w:rsidR="00F76020">
        <w:rPr>
          <w:rFonts w:ascii="Times New Roman" w:hAnsi="Times New Roman" w:cs="Times New Roman"/>
        </w:rPr>
        <w:t>[</w:t>
      </w:r>
      <w:r w:rsidRPr="00BF764F">
        <w:rPr>
          <w:rFonts w:ascii="Times New Roman" w:hAnsi="Times New Roman" w:cs="Times New Roman"/>
        </w:rPr>
        <w:t>23</w:t>
      </w:r>
      <w:r w:rsidR="00F76020">
        <w:rPr>
          <w:rFonts w:ascii="Times New Roman" w:hAnsi="Times New Roman" w:cs="Times New Roman"/>
        </w:rPr>
        <w:t>]</w:t>
      </w:r>
      <w:r w:rsidRPr="00BF764F">
        <w:rPr>
          <w:rFonts w:ascii="Times New Roman" w:hAnsi="Times New Roman" w:cs="Times New Roman"/>
        </w:rPr>
        <w:t xml:space="preserve">, </w:t>
      </w:r>
      <w:r w:rsidR="00F76020">
        <w:rPr>
          <w:rFonts w:ascii="Times New Roman" w:hAnsi="Times New Roman" w:cs="Times New Roman"/>
        </w:rPr>
        <w:t>[</w:t>
      </w:r>
      <w:r w:rsidRPr="00BF764F">
        <w:rPr>
          <w:rFonts w:ascii="Times New Roman" w:hAnsi="Times New Roman" w:cs="Times New Roman"/>
        </w:rPr>
        <w:t>28</w:t>
      </w:r>
      <w:r w:rsidR="00F76020">
        <w:rPr>
          <w:rFonts w:ascii="Times New Roman" w:hAnsi="Times New Roman" w:cs="Times New Roman"/>
        </w:rPr>
        <w:t>]</w:t>
      </w:r>
      <w:r w:rsidRPr="00BF764F">
        <w:rPr>
          <w:rFonts w:ascii="Times New Roman" w:hAnsi="Times New Roman" w:cs="Times New Roman"/>
        </w:rPr>
        <w:t>.</w:t>
      </w:r>
    </w:p>
  </w:footnote>
  <w:footnote w:id="36">
    <w:p w14:paraId="66454ED1" w14:textId="30FAFD48" w:rsidR="00F83A71" w:rsidRPr="008250A2" w:rsidRDefault="00F83A71">
      <w:pPr>
        <w:pStyle w:val="FootnoteText"/>
        <w:rPr>
          <w:rFonts w:ascii="Times New Roman" w:hAnsi="Times New Roman" w:cs="Times New Roman"/>
          <w:u w:val="single"/>
          <w:lang w:val="en-US"/>
        </w:rPr>
      </w:pPr>
      <w:r w:rsidRPr="00BF764F">
        <w:rPr>
          <w:rStyle w:val="FootnoteReference"/>
          <w:rFonts w:ascii="Times New Roman" w:hAnsi="Times New Roman" w:cs="Times New Roman"/>
        </w:rPr>
        <w:footnoteRef/>
      </w:r>
      <w:r w:rsidRPr="00BF764F">
        <w:rPr>
          <w:rFonts w:ascii="Times New Roman" w:hAnsi="Times New Roman" w:cs="Times New Roman"/>
        </w:rPr>
        <w:t xml:space="preserve"> </w:t>
      </w:r>
      <w:r w:rsidR="00505EF7">
        <w:rPr>
          <w:rFonts w:ascii="Times New Roman" w:hAnsi="Times New Roman" w:cs="Times New Roman"/>
          <w:lang w:val="en-US"/>
        </w:rPr>
        <w:t>ILO Gender, Equality and Diversity and ILOAIDS Branch, Conditions of Work and Equality Department</w:t>
      </w:r>
      <w:r w:rsidRPr="00BF764F">
        <w:rPr>
          <w:rFonts w:ascii="Times New Roman" w:hAnsi="Times New Roman" w:cs="Times New Roman"/>
          <w:lang w:val="en-US"/>
        </w:rPr>
        <w:t xml:space="preserve"> </w:t>
      </w:r>
      <w:r w:rsidR="00505EF7">
        <w:rPr>
          <w:rFonts w:ascii="Times New Roman" w:hAnsi="Times New Roman" w:cs="Times New Roman"/>
          <w:lang w:val="en-US"/>
        </w:rPr>
        <w:t>“</w:t>
      </w:r>
      <w:r w:rsidRPr="00BF764F">
        <w:rPr>
          <w:rFonts w:ascii="Times New Roman" w:hAnsi="Times New Roman" w:cs="Times New Roman"/>
          <w:lang w:val="en-NZ"/>
        </w:rPr>
        <w:t xml:space="preserve">Sexual Harassment in the </w:t>
      </w:r>
      <w:r w:rsidR="00505EF7">
        <w:rPr>
          <w:rFonts w:ascii="Times New Roman" w:hAnsi="Times New Roman" w:cs="Times New Roman"/>
          <w:lang w:val="en-NZ"/>
        </w:rPr>
        <w:t>W</w:t>
      </w:r>
      <w:r w:rsidRPr="00BF764F">
        <w:rPr>
          <w:rFonts w:ascii="Times New Roman" w:hAnsi="Times New Roman" w:cs="Times New Roman"/>
          <w:lang w:val="en-NZ"/>
        </w:rPr>
        <w:t xml:space="preserve">orld of </w:t>
      </w:r>
      <w:r w:rsidR="00505EF7">
        <w:rPr>
          <w:rFonts w:ascii="Times New Roman" w:hAnsi="Times New Roman" w:cs="Times New Roman"/>
          <w:lang w:val="en-NZ"/>
        </w:rPr>
        <w:t>W</w:t>
      </w:r>
      <w:r w:rsidRPr="00BF764F">
        <w:rPr>
          <w:rFonts w:ascii="Times New Roman" w:hAnsi="Times New Roman" w:cs="Times New Roman"/>
          <w:lang w:val="en-NZ"/>
        </w:rPr>
        <w:t>ork</w:t>
      </w:r>
      <w:r w:rsidR="00505EF7">
        <w:rPr>
          <w:rFonts w:ascii="Times New Roman" w:hAnsi="Times New Roman" w:cs="Times New Roman"/>
          <w:lang w:val="en-NZ"/>
        </w:rPr>
        <w:t xml:space="preserve">” (information brief) </w:t>
      </w:r>
      <w:r w:rsidRPr="00BF764F">
        <w:rPr>
          <w:rFonts w:ascii="Times New Roman" w:hAnsi="Times New Roman" w:cs="Times New Roman"/>
          <w:lang w:val="en-NZ"/>
        </w:rPr>
        <w:t>at 4.</w:t>
      </w:r>
    </w:p>
  </w:footnote>
  <w:footnote w:id="37">
    <w:p w14:paraId="4F3F6584" w14:textId="4E2669F2" w:rsidR="006B23B6" w:rsidRPr="001E7EA1" w:rsidRDefault="00784D4E">
      <w:pPr>
        <w:pStyle w:val="FootnoteText"/>
        <w:rPr>
          <w:rFonts w:ascii="Times New Roman" w:hAnsi="Times New Roman" w:cs="Times New Roman"/>
        </w:rPr>
      </w:pPr>
      <w:r w:rsidRPr="001E7EA1">
        <w:rPr>
          <w:rStyle w:val="FootnoteReference"/>
          <w:rFonts w:ascii="Times New Roman" w:hAnsi="Times New Roman" w:cs="Times New Roman"/>
        </w:rPr>
        <w:footnoteRef/>
      </w:r>
      <w:r w:rsidRPr="001E7EA1">
        <w:rPr>
          <w:rFonts w:ascii="Times New Roman" w:hAnsi="Times New Roman" w:cs="Times New Roman"/>
        </w:rPr>
        <w:t xml:space="preserve"> </w:t>
      </w:r>
      <w:r w:rsidR="006B23B6" w:rsidRPr="001E7EA1">
        <w:rPr>
          <w:rFonts w:ascii="Times New Roman" w:hAnsi="Times New Roman" w:cs="Times New Roman"/>
        </w:rPr>
        <w:t>Accident Compensation Act 2001.</w:t>
      </w:r>
    </w:p>
  </w:footnote>
  <w:footnote w:id="38">
    <w:p w14:paraId="547E3D79" w14:textId="3F9AC135" w:rsidR="006B23B6" w:rsidRPr="001E7EA1" w:rsidRDefault="006B23B6">
      <w:pPr>
        <w:pStyle w:val="FootnoteText"/>
        <w:rPr>
          <w:rFonts w:ascii="Times New Roman" w:hAnsi="Times New Roman" w:cs="Times New Roman"/>
          <w:lang w:val="en-US"/>
        </w:rPr>
      </w:pPr>
      <w:r w:rsidRPr="001E7EA1">
        <w:rPr>
          <w:rStyle w:val="FootnoteReference"/>
          <w:rFonts w:ascii="Times New Roman" w:hAnsi="Times New Roman" w:cs="Times New Roman"/>
        </w:rPr>
        <w:footnoteRef/>
      </w:r>
      <w:r w:rsidRPr="001E7EA1">
        <w:rPr>
          <w:rFonts w:ascii="Times New Roman" w:hAnsi="Times New Roman" w:cs="Times New Roman"/>
        </w:rPr>
        <w:t xml:space="preserve"> </w:t>
      </w:r>
      <w:r w:rsidRPr="001E7EA1">
        <w:rPr>
          <w:rFonts w:ascii="Times New Roman" w:hAnsi="Times New Roman" w:cs="Times New Roman"/>
          <w:lang w:val="en-US"/>
        </w:rPr>
        <w:t>Health and Safety at Work Act 2015.</w:t>
      </w:r>
    </w:p>
  </w:footnote>
  <w:footnote w:id="39">
    <w:p w14:paraId="35ADE131" w14:textId="331EA9F5" w:rsidR="006B23B6" w:rsidRPr="001E7EA1" w:rsidRDefault="006B23B6">
      <w:pPr>
        <w:pStyle w:val="FootnoteText"/>
        <w:rPr>
          <w:rFonts w:ascii="Times New Roman" w:hAnsi="Times New Roman" w:cs="Times New Roman"/>
          <w:lang w:val="en-US"/>
        </w:rPr>
      </w:pPr>
      <w:r w:rsidRPr="001E7EA1">
        <w:rPr>
          <w:rStyle w:val="FootnoteReference"/>
          <w:rFonts w:ascii="Times New Roman" w:hAnsi="Times New Roman" w:cs="Times New Roman"/>
        </w:rPr>
        <w:footnoteRef/>
      </w:r>
      <w:r w:rsidRPr="001E7EA1">
        <w:rPr>
          <w:rFonts w:ascii="Times New Roman" w:hAnsi="Times New Roman" w:cs="Times New Roman"/>
        </w:rPr>
        <w:t xml:space="preserve"> </w:t>
      </w:r>
      <w:r w:rsidRPr="001E7EA1">
        <w:rPr>
          <w:rFonts w:ascii="Times New Roman" w:hAnsi="Times New Roman" w:cs="Times New Roman"/>
          <w:lang w:val="en-US"/>
        </w:rPr>
        <w:t>Employment Relations Act 2000.</w:t>
      </w:r>
    </w:p>
  </w:footnote>
  <w:footnote w:id="40">
    <w:p w14:paraId="25284A72" w14:textId="68BF6E15" w:rsidR="00587AD4" w:rsidRPr="001E7EA1" w:rsidRDefault="00587AD4">
      <w:pPr>
        <w:pStyle w:val="FootnoteText"/>
        <w:rPr>
          <w:rFonts w:ascii="Times New Roman" w:hAnsi="Times New Roman" w:cs="Times New Roman"/>
          <w:lang w:val="en-US"/>
        </w:rPr>
      </w:pPr>
      <w:r w:rsidRPr="001E7EA1">
        <w:rPr>
          <w:rStyle w:val="FootnoteReference"/>
          <w:rFonts w:ascii="Times New Roman" w:hAnsi="Times New Roman" w:cs="Times New Roman"/>
        </w:rPr>
        <w:footnoteRef/>
      </w:r>
      <w:r w:rsidRPr="001E7EA1">
        <w:rPr>
          <w:rFonts w:ascii="Times New Roman" w:hAnsi="Times New Roman" w:cs="Times New Roman"/>
        </w:rPr>
        <w:t xml:space="preserve"> </w:t>
      </w:r>
      <w:r w:rsidRPr="001E7EA1">
        <w:rPr>
          <w:rFonts w:ascii="Times New Roman" w:hAnsi="Times New Roman" w:cs="Times New Roman"/>
          <w:lang w:val="en-US"/>
        </w:rPr>
        <w:t xml:space="preserve">Green Party </w:t>
      </w:r>
      <w:r w:rsidR="0088056A">
        <w:rPr>
          <w:rFonts w:ascii="Times New Roman" w:hAnsi="Times New Roman" w:cs="Times New Roman"/>
          <w:lang w:val="en-US"/>
        </w:rPr>
        <w:t>“</w:t>
      </w:r>
      <w:r w:rsidRPr="001E7EA1">
        <w:rPr>
          <w:rFonts w:ascii="Times New Roman" w:hAnsi="Times New Roman" w:cs="Times New Roman"/>
          <w:lang w:val="en-US"/>
        </w:rPr>
        <w:t>Accident Compensation Policy</w:t>
      </w:r>
      <w:r w:rsidR="0088056A">
        <w:rPr>
          <w:rFonts w:ascii="Times New Roman" w:hAnsi="Times New Roman" w:cs="Times New Roman"/>
          <w:lang w:val="en-US"/>
        </w:rPr>
        <w:t xml:space="preserve">” (electoral policy, 29 </w:t>
      </w:r>
      <w:r w:rsidRPr="001E7EA1">
        <w:rPr>
          <w:rFonts w:ascii="Times New Roman" w:hAnsi="Times New Roman" w:cs="Times New Roman"/>
          <w:lang w:val="en-US"/>
        </w:rPr>
        <w:t>June 202</w:t>
      </w:r>
      <w:r w:rsidR="0088056A">
        <w:rPr>
          <w:rFonts w:ascii="Times New Roman" w:hAnsi="Times New Roman" w:cs="Times New Roman"/>
          <w:lang w:val="en-US"/>
        </w:rPr>
        <w:t>0).</w:t>
      </w:r>
    </w:p>
  </w:footnote>
  <w:footnote w:id="41">
    <w:p w14:paraId="3B0ACB65" w14:textId="6879DB8A" w:rsidR="00D6730A" w:rsidRPr="001E7EA1" w:rsidRDefault="00D6730A">
      <w:pPr>
        <w:pStyle w:val="FootnoteText"/>
        <w:rPr>
          <w:lang w:val="en-US"/>
        </w:rPr>
      </w:pPr>
      <w:r w:rsidRPr="001E7EA1">
        <w:rPr>
          <w:rStyle w:val="FootnoteReference"/>
          <w:rFonts w:ascii="Times New Roman" w:hAnsi="Times New Roman" w:cs="Times New Roman"/>
        </w:rPr>
        <w:footnoteRef/>
      </w:r>
      <w:r w:rsidRPr="001E7EA1">
        <w:rPr>
          <w:rFonts w:ascii="Times New Roman" w:hAnsi="Times New Roman" w:cs="Times New Roman"/>
        </w:rPr>
        <w:t xml:space="preserve"> </w:t>
      </w:r>
      <w:r w:rsidR="0088056A">
        <w:rPr>
          <w:rFonts w:ascii="Times New Roman" w:hAnsi="Times New Roman" w:cs="Times New Roman"/>
          <w:lang w:val="en-US"/>
        </w:rPr>
        <w:t>At</w:t>
      </w:r>
      <w:r w:rsidRPr="001E7EA1">
        <w:rPr>
          <w:rFonts w:ascii="Times New Roman" w:hAnsi="Times New Roman" w:cs="Times New Roman"/>
          <w:lang w:val="en-US"/>
        </w:rPr>
        <w:t xml:space="preserve"> </w:t>
      </w:r>
      <w:r w:rsidR="00F76020">
        <w:rPr>
          <w:rFonts w:ascii="Times New Roman" w:hAnsi="Times New Roman" w:cs="Times New Roman"/>
          <w:lang w:val="en-US"/>
        </w:rPr>
        <w:t>[</w:t>
      </w:r>
      <w:r w:rsidRPr="001E7EA1">
        <w:rPr>
          <w:rFonts w:ascii="Times New Roman" w:hAnsi="Times New Roman" w:cs="Times New Roman"/>
          <w:lang w:val="en-US"/>
        </w:rPr>
        <w:t>2.4</w:t>
      </w:r>
      <w:r w:rsidR="00F76020">
        <w:rPr>
          <w:rFonts w:ascii="Times New Roman" w:hAnsi="Times New Roman" w:cs="Times New Roman"/>
          <w:lang w:val="en-US"/>
        </w:rPr>
        <w:t>]</w:t>
      </w:r>
      <w:r w:rsidRPr="001E7EA1">
        <w:rPr>
          <w:rFonts w:ascii="Times New Roman" w:hAnsi="Times New Roman" w:cs="Times New Roman"/>
          <w:lang w:val="en-US"/>
        </w:rPr>
        <w:t>.</w:t>
      </w:r>
    </w:p>
  </w:footnote>
  <w:footnote w:id="42">
    <w:p w14:paraId="294599D3" w14:textId="5791B46A" w:rsidR="00E46447" w:rsidRPr="001E7EA1" w:rsidRDefault="00E46447">
      <w:pPr>
        <w:pStyle w:val="FootnoteText"/>
        <w:rPr>
          <w:rFonts w:ascii="Times New Roman" w:hAnsi="Times New Roman" w:cs="Times New Roman"/>
          <w:lang w:val="en-US"/>
        </w:rPr>
      </w:pPr>
      <w:r w:rsidRPr="001E7EA1">
        <w:rPr>
          <w:rStyle w:val="FootnoteReference"/>
          <w:rFonts w:ascii="Times New Roman" w:hAnsi="Times New Roman" w:cs="Times New Roman"/>
        </w:rPr>
        <w:footnoteRef/>
      </w:r>
      <w:r w:rsidRPr="001E7EA1">
        <w:rPr>
          <w:rFonts w:ascii="Times New Roman" w:hAnsi="Times New Roman" w:cs="Times New Roman"/>
        </w:rPr>
        <w:t xml:space="preserve"> </w:t>
      </w:r>
      <w:r w:rsidR="0088056A">
        <w:rPr>
          <w:rFonts w:ascii="Times New Roman" w:hAnsi="Times New Roman" w:cs="Times New Roman"/>
          <w:lang w:val="en-US"/>
        </w:rPr>
        <w:t>At</w:t>
      </w:r>
      <w:r w:rsidRPr="001E7EA1">
        <w:rPr>
          <w:rFonts w:ascii="Times New Roman" w:hAnsi="Times New Roman" w:cs="Times New Roman"/>
          <w:lang w:val="en-US"/>
        </w:rPr>
        <w:t xml:space="preserve"> </w:t>
      </w:r>
      <w:r w:rsidR="00F76020">
        <w:rPr>
          <w:rFonts w:ascii="Times New Roman" w:hAnsi="Times New Roman" w:cs="Times New Roman"/>
          <w:lang w:val="en-US"/>
        </w:rPr>
        <w:t>[</w:t>
      </w:r>
      <w:r w:rsidRPr="001E7EA1">
        <w:rPr>
          <w:rFonts w:ascii="Times New Roman" w:hAnsi="Times New Roman" w:cs="Times New Roman"/>
          <w:lang w:val="en-US"/>
        </w:rPr>
        <w:t>6</w:t>
      </w:r>
      <w:r w:rsidR="00F76020">
        <w:rPr>
          <w:rFonts w:ascii="Times New Roman" w:hAnsi="Times New Roman" w:cs="Times New Roman"/>
          <w:lang w:val="en-US"/>
        </w:rPr>
        <w:t>]</w:t>
      </w:r>
      <w:r w:rsidRPr="001E7EA1">
        <w:rPr>
          <w:rFonts w:ascii="Times New Roman" w:hAnsi="Times New Roman" w:cs="Times New Roman"/>
          <w:lang w:val="en-US"/>
        </w:rPr>
        <w:t>.</w:t>
      </w:r>
    </w:p>
  </w:footnote>
  <w:footnote w:id="43">
    <w:p w14:paraId="42D2D23F" w14:textId="0D4336D8" w:rsidR="00341B93" w:rsidRPr="00341B93" w:rsidRDefault="00341B93">
      <w:pPr>
        <w:pStyle w:val="FootnoteText"/>
        <w:rPr>
          <w:lang w:val="en-US"/>
        </w:rPr>
      </w:pPr>
      <w:r w:rsidRPr="001E7EA1">
        <w:rPr>
          <w:rStyle w:val="FootnoteReference"/>
          <w:rFonts w:ascii="Times New Roman" w:hAnsi="Times New Roman" w:cs="Times New Roman"/>
        </w:rPr>
        <w:footnoteRef/>
      </w:r>
      <w:r w:rsidRPr="001E7EA1">
        <w:rPr>
          <w:rFonts w:ascii="Times New Roman" w:hAnsi="Times New Roman" w:cs="Times New Roman"/>
        </w:rPr>
        <w:t xml:space="preserve"> </w:t>
      </w:r>
      <w:r w:rsidR="0088056A">
        <w:rPr>
          <w:rFonts w:ascii="Times New Roman" w:hAnsi="Times New Roman" w:cs="Times New Roman"/>
          <w:lang w:val="en-US"/>
        </w:rPr>
        <w:t>At</w:t>
      </w:r>
      <w:r w:rsidRPr="001E7EA1">
        <w:rPr>
          <w:rFonts w:ascii="Times New Roman" w:hAnsi="Times New Roman" w:cs="Times New Roman"/>
          <w:lang w:val="en-US"/>
        </w:rPr>
        <w:t xml:space="preserve"> </w:t>
      </w:r>
      <w:r w:rsidR="00F76020">
        <w:rPr>
          <w:rFonts w:ascii="Times New Roman" w:hAnsi="Times New Roman" w:cs="Times New Roman"/>
          <w:lang w:val="en-US"/>
        </w:rPr>
        <w:t>[</w:t>
      </w:r>
      <w:r w:rsidRPr="001E7EA1">
        <w:rPr>
          <w:rFonts w:ascii="Times New Roman" w:hAnsi="Times New Roman" w:cs="Times New Roman"/>
          <w:lang w:val="en-US"/>
        </w:rPr>
        <w:t>7.</w:t>
      </w:r>
      <w:r w:rsidR="00F76020">
        <w:rPr>
          <w:rFonts w:ascii="Times New Roman" w:hAnsi="Times New Roman" w:cs="Times New Roman"/>
          <w:lang w:val="en-US"/>
        </w:rPr>
        <w:t>1]</w:t>
      </w:r>
      <w:r w:rsidR="0088056A">
        <w:rPr>
          <w:rFonts w:ascii="Times New Roman" w:hAnsi="Times New Roman" w:cs="Times New Roman"/>
          <w:lang w:val="en-US"/>
        </w:rPr>
        <w:t>.</w:t>
      </w:r>
    </w:p>
  </w:footnote>
  <w:footnote w:id="44">
    <w:p w14:paraId="230AA0E8" w14:textId="069DDFCC" w:rsidR="0002701D" w:rsidRPr="006524C7" w:rsidRDefault="0002701D">
      <w:pPr>
        <w:pStyle w:val="FootnoteText"/>
        <w:rPr>
          <w:rFonts w:ascii="Times New Roman" w:hAnsi="Times New Roman" w:cs="Times New Roman"/>
          <w:lang w:val="en-US"/>
        </w:rPr>
      </w:pPr>
      <w:r w:rsidRPr="006524C7">
        <w:rPr>
          <w:rStyle w:val="FootnoteReference"/>
          <w:rFonts w:ascii="Times New Roman" w:hAnsi="Times New Roman" w:cs="Times New Roman"/>
        </w:rPr>
        <w:footnoteRef/>
      </w:r>
      <w:r w:rsidRPr="006524C7">
        <w:rPr>
          <w:rFonts w:ascii="Times New Roman" w:hAnsi="Times New Roman" w:cs="Times New Roman"/>
        </w:rPr>
        <w:t xml:space="preserve"> </w:t>
      </w:r>
      <w:r w:rsidRPr="006524C7">
        <w:rPr>
          <w:rFonts w:ascii="Times New Roman" w:hAnsi="Times New Roman" w:cs="Times New Roman"/>
          <w:lang w:val="en-US"/>
        </w:rPr>
        <w:t>See</w:t>
      </w:r>
      <w:r w:rsidR="00B01D4B">
        <w:rPr>
          <w:rFonts w:ascii="Times New Roman" w:hAnsi="Times New Roman" w:cs="Times New Roman"/>
          <w:lang w:val="en-US"/>
        </w:rPr>
        <w:t>,</w:t>
      </w:r>
      <w:r w:rsidR="006524C7">
        <w:rPr>
          <w:rFonts w:ascii="Times New Roman" w:hAnsi="Times New Roman" w:cs="Times New Roman"/>
          <w:lang w:val="en-US"/>
        </w:rPr>
        <w:t xml:space="preserve"> </w:t>
      </w:r>
      <w:r w:rsidRPr="006524C7">
        <w:rPr>
          <w:rFonts w:ascii="Times New Roman" w:hAnsi="Times New Roman" w:cs="Times New Roman"/>
          <w:lang w:val="en-US"/>
        </w:rPr>
        <w:t>for example, Health and Safety at Work Act</w:t>
      </w:r>
      <w:r w:rsidR="00B01D4B">
        <w:rPr>
          <w:rFonts w:ascii="Times New Roman" w:hAnsi="Times New Roman" w:cs="Times New Roman"/>
          <w:lang w:val="en-US"/>
        </w:rPr>
        <w:t>,</w:t>
      </w:r>
      <w:r w:rsidRPr="006524C7">
        <w:rPr>
          <w:rFonts w:ascii="Times New Roman" w:hAnsi="Times New Roman" w:cs="Times New Roman"/>
          <w:lang w:val="en-US"/>
        </w:rPr>
        <w:t xml:space="preserve"> s 14.</w:t>
      </w:r>
    </w:p>
  </w:footnote>
  <w:footnote w:id="45">
    <w:p w14:paraId="1C236F92" w14:textId="02234B9A" w:rsidR="005623FD" w:rsidRPr="006524C7" w:rsidRDefault="005623FD">
      <w:pPr>
        <w:pStyle w:val="FootnoteText"/>
        <w:rPr>
          <w:rFonts w:ascii="Times New Roman" w:hAnsi="Times New Roman" w:cs="Times New Roman"/>
          <w:lang w:val="en-US"/>
        </w:rPr>
      </w:pPr>
      <w:r w:rsidRPr="006524C7">
        <w:rPr>
          <w:rStyle w:val="FootnoteReference"/>
          <w:rFonts w:ascii="Times New Roman" w:hAnsi="Times New Roman" w:cs="Times New Roman"/>
        </w:rPr>
        <w:footnoteRef/>
      </w:r>
      <w:r w:rsidRPr="006524C7">
        <w:rPr>
          <w:rFonts w:ascii="Times New Roman" w:hAnsi="Times New Roman" w:cs="Times New Roman"/>
        </w:rPr>
        <w:t xml:space="preserve"> </w:t>
      </w:r>
      <w:r w:rsidR="00B01D4B">
        <w:rPr>
          <w:rFonts w:ascii="Times New Roman" w:hAnsi="Times New Roman" w:cs="Times New Roman"/>
          <w:lang w:val="en-US"/>
        </w:rPr>
        <w:t>Stats NZ, a</w:t>
      </w:r>
      <w:r w:rsidRPr="006524C7">
        <w:rPr>
          <w:rFonts w:ascii="Times New Roman" w:hAnsi="Times New Roman" w:cs="Times New Roman"/>
          <w:lang w:val="en-US"/>
        </w:rPr>
        <w:t>bove n 30.</w:t>
      </w:r>
    </w:p>
  </w:footnote>
  <w:footnote w:id="46">
    <w:p w14:paraId="31169D36" w14:textId="2E763123" w:rsidR="00D50BCE" w:rsidRPr="006524C7" w:rsidRDefault="00D50BCE">
      <w:pPr>
        <w:pStyle w:val="FootnoteText"/>
        <w:rPr>
          <w:rFonts w:ascii="Times New Roman" w:hAnsi="Times New Roman" w:cs="Times New Roman"/>
          <w:lang w:val="en-US"/>
        </w:rPr>
      </w:pPr>
      <w:r w:rsidRPr="006524C7">
        <w:rPr>
          <w:rStyle w:val="FootnoteReference"/>
          <w:rFonts w:ascii="Times New Roman" w:hAnsi="Times New Roman" w:cs="Times New Roman"/>
        </w:rPr>
        <w:footnoteRef/>
      </w:r>
      <w:r w:rsidRPr="006524C7">
        <w:rPr>
          <w:rFonts w:ascii="Times New Roman" w:hAnsi="Times New Roman" w:cs="Times New Roman"/>
        </w:rPr>
        <w:t xml:space="preserve"> </w:t>
      </w:r>
      <w:r w:rsidRPr="006524C7">
        <w:rPr>
          <w:rFonts w:ascii="Times New Roman" w:hAnsi="Times New Roman" w:cs="Times New Roman"/>
          <w:lang w:val="en-US"/>
        </w:rPr>
        <w:t>Health and Safety at Work Act, s 36.</w:t>
      </w:r>
    </w:p>
  </w:footnote>
  <w:footnote w:id="47">
    <w:p w14:paraId="1A81EB39" w14:textId="1DAD9189" w:rsidR="002E652A" w:rsidRPr="00D54852" w:rsidRDefault="002E652A">
      <w:pPr>
        <w:pStyle w:val="FootnoteText"/>
        <w:rPr>
          <w:rFonts w:ascii="Times New Roman" w:hAnsi="Times New Roman" w:cs="Times New Roman"/>
          <w:u w:val="single"/>
          <w:lang w:val="en-US"/>
        </w:rPr>
      </w:pPr>
      <w:r w:rsidRPr="006524C7">
        <w:rPr>
          <w:rStyle w:val="FootnoteReference"/>
          <w:rFonts w:ascii="Times New Roman" w:hAnsi="Times New Roman" w:cs="Times New Roman"/>
        </w:rPr>
        <w:footnoteRef/>
      </w:r>
      <w:r w:rsidRPr="006524C7">
        <w:rPr>
          <w:rFonts w:ascii="Times New Roman" w:hAnsi="Times New Roman" w:cs="Times New Roman"/>
        </w:rPr>
        <w:t xml:space="preserve"> </w:t>
      </w:r>
      <w:r w:rsidRPr="006524C7">
        <w:rPr>
          <w:rFonts w:ascii="Times New Roman" w:hAnsi="Times New Roman" w:cs="Times New Roman"/>
          <w:lang w:val="en-US"/>
        </w:rPr>
        <w:t xml:space="preserve">WorkSafe </w:t>
      </w:r>
      <w:r w:rsidR="003830C2">
        <w:rPr>
          <w:rFonts w:ascii="Times New Roman" w:hAnsi="Times New Roman" w:cs="Times New Roman"/>
          <w:lang w:val="en-US"/>
        </w:rPr>
        <w:t>“</w:t>
      </w:r>
      <w:r w:rsidRPr="006524C7">
        <w:rPr>
          <w:rFonts w:ascii="Times New Roman" w:hAnsi="Times New Roman" w:cs="Times New Roman"/>
          <w:lang w:val="en-US"/>
        </w:rPr>
        <w:t>Prosecution Regulatory Function Policy</w:t>
      </w:r>
      <w:r w:rsidR="003830C2">
        <w:rPr>
          <w:rFonts w:ascii="Times New Roman" w:hAnsi="Times New Roman" w:cs="Times New Roman"/>
          <w:lang w:val="en-US"/>
        </w:rPr>
        <w:t xml:space="preserve">” (enforcement policy, </w:t>
      </w:r>
      <w:r w:rsidRPr="006524C7">
        <w:rPr>
          <w:rFonts w:ascii="Times New Roman" w:hAnsi="Times New Roman" w:cs="Times New Roman"/>
          <w:lang w:val="en-US"/>
        </w:rPr>
        <w:t>August 2020</w:t>
      </w:r>
      <w:r w:rsidR="003830C2">
        <w:rPr>
          <w:rFonts w:ascii="Times New Roman" w:hAnsi="Times New Roman" w:cs="Times New Roman"/>
          <w:lang w:val="en-US"/>
        </w:rPr>
        <w:t xml:space="preserve">) </w:t>
      </w:r>
      <w:r w:rsidRPr="006524C7">
        <w:rPr>
          <w:rFonts w:ascii="Times New Roman" w:hAnsi="Times New Roman" w:cs="Times New Roman"/>
          <w:lang w:val="en-US"/>
        </w:rPr>
        <w:t xml:space="preserve">at </w:t>
      </w:r>
      <w:r w:rsidR="00F76020">
        <w:rPr>
          <w:rFonts w:ascii="Times New Roman" w:hAnsi="Times New Roman" w:cs="Times New Roman"/>
          <w:lang w:val="en-US"/>
        </w:rPr>
        <w:t>[</w:t>
      </w:r>
      <w:r w:rsidRPr="006524C7">
        <w:rPr>
          <w:rFonts w:ascii="Times New Roman" w:hAnsi="Times New Roman" w:cs="Times New Roman"/>
          <w:lang w:val="en-US"/>
        </w:rPr>
        <w:t>7.1</w:t>
      </w:r>
      <w:r w:rsidR="003830C2">
        <w:rPr>
          <w:rFonts w:ascii="Times New Roman" w:hAnsi="Times New Roman" w:cs="Times New Roman"/>
          <w:lang w:val="en-US"/>
        </w:rPr>
        <w:t>-</w:t>
      </w:r>
      <w:r w:rsidRPr="006524C7">
        <w:rPr>
          <w:rFonts w:ascii="Times New Roman" w:hAnsi="Times New Roman" w:cs="Times New Roman"/>
          <w:lang w:val="en-US"/>
        </w:rPr>
        <w:t>7.2</w:t>
      </w:r>
      <w:r w:rsidR="00F76020">
        <w:rPr>
          <w:rFonts w:ascii="Times New Roman" w:hAnsi="Times New Roman" w:cs="Times New Roman"/>
          <w:lang w:val="en-US"/>
        </w:rPr>
        <w:t>]</w:t>
      </w:r>
      <w:r w:rsidRPr="006524C7">
        <w:rPr>
          <w:rFonts w:ascii="Times New Roman" w:hAnsi="Times New Roman" w:cs="Times New Roman"/>
          <w:lang w:val="en-US"/>
        </w:rPr>
        <w:t>.</w:t>
      </w:r>
    </w:p>
  </w:footnote>
  <w:footnote w:id="48">
    <w:p w14:paraId="4D79BFCB" w14:textId="6FC2CEC0" w:rsidR="00FA4A86" w:rsidRPr="00F76020" w:rsidRDefault="00FA4A86">
      <w:pPr>
        <w:pStyle w:val="FootnoteText"/>
        <w:rPr>
          <w:rFonts w:ascii="Times New Roman" w:hAnsi="Times New Roman" w:cs="Times New Roman"/>
          <w:lang w:val="en-US"/>
        </w:rPr>
      </w:pPr>
      <w:r w:rsidRPr="00F76020">
        <w:rPr>
          <w:rStyle w:val="FootnoteReference"/>
          <w:rFonts w:ascii="Times New Roman" w:hAnsi="Times New Roman" w:cs="Times New Roman"/>
        </w:rPr>
        <w:footnoteRef/>
      </w:r>
      <w:r w:rsidRPr="00F76020">
        <w:rPr>
          <w:rFonts w:ascii="Times New Roman" w:hAnsi="Times New Roman" w:cs="Times New Roman"/>
        </w:rPr>
        <w:t xml:space="preserve"> </w:t>
      </w:r>
      <w:r w:rsidRPr="00F76020">
        <w:rPr>
          <w:rFonts w:ascii="Times New Roman" w:hAnsi="Times New Roman" w:cs="Times New Roman"/>
          <w:lang w:val="en-US"/>
        </w:rPr>
        <w:t>Health and Safety at Work Act, s 195.</w:t>
      </w:r>
    </w:p>
  </w:footnote>
  <w:footnote w:id="49">
    <w:p w14:paraId="56090DA7" w14:textId="73394765" w:rsidR="00052DAF" w:rsidRPr="00F76020" w:rsidRDefault="00052DAF">
      <w:pPr>
        <w:pStyle w:val="FootnoteText"/>
        <w:rPr>
          <w:rFonts w:ascii="Times New Roman" w:hAnsi="Times New Roman" w:cs="Times New Roman"/>
          <w:lang w:val="en-US"/>
        </w:rPr>
      </w:pPr>
      <w:r w:rsidRPr="00F76020">
        <w:rPr>
          <w:rStyle w:val="FootnoteReference"/>
          <w:rFonts w:ascii="Times New Roman" w:hAnsi="Times New Roman" w:cs="Times New Roman"/>
        </w:rPr>
        <w:footnoteRef/>
      </w:r>
      <w:r w:rsidRPr="00F76020">
        <w:rPr>
          <w:rFonts w:ascii="Times New Roman" w:hAnsi="Times New Roman" w:cs="Times New Roman"/>
        </w:rPr>
        <w:t xml:space="preserve"> </w:t>
      </w:r>
      <w:r w:rsidRPr="00F76020">
        <w:rPr>
          <w:rFonts w:ascii="Times New Roman" w:hAnsi="Times New Roman" w:cs="Times New Roman"/>
          <w:lang w:val="en-US"/>
        </w:rPr>
        <w:t>Employment Relations Act</w:t>
      </w:r>
      <w:r w:rsidR="00F76020">
        <w:rPr>
          <w:rFonts w:ascii="Times New Roman" w:hAnsi="Times New Roman" w:cs="Times New Roman"/>
          <w:lang w:val="en-US"/>
        </w:rPr>
        <w:t>, above n 40.</w:t>
      </w:r>
    </w:p>
  </w:footnote>
  <w:footnote w:id="50">
    <w:p w14:paraId="5BD24BC4" w14:textId="03646DE7" w:rsidR="007934EB" w:rsidRPr="00F76020" w:rsidRDefault="007934EB">
      <w:pPr>
        <w:pStyle w:val="FootnoteText"/>
        <w:rPr>
          <w:rFonts w:ascii="Times New Roman" w:hAnsi="Times New Roman" w:cs="Times New Roman"/>
          <w:lang w:val="en-US"/>
        </w:rPr>
      </w:pPr>
      <w:r w:rsidRPr="00F76020">
        <w:rPr>
          <w:rStyle w:val="FootnoteReference"/>
          <w:rFonts w:ascii="Times New Roman" w:hAnsi="Times New Roman" w:cs="Times New Roman"/>
        </w:rPr>
        <w:footnoteRef/>
      </w:r>
      <w:r w:rsidRPr="00F76020">
        <w:rPr>
          <w:rFonts w:ascii="Times New Roman" w:hAnsi="Times New Roman" w:cs="Times New Roman"/>
        </w:rPr>
        <w:t xml:space="preserve"> </w:t>
      </w:r>
      <w:r w:rsidR="00F76020">
        <w:rPr>
          <w:rFonts w:ascii="Times New Roman" w:hAnsi="Times New Roman" w:cs="Times New Roman"/>
        </w:rPr>
        <w:t>Section</w:t>
      </w:r>
      <w:r w:rsidRPr="00F76020">
        <w:rPr>
          <w:rFonts w:ascii="Times New Roman" w:hAnsi="Times New Roman" w:cs="Times New Roman"/>
        </w:rPr>
        <w:t xml:space="preserve"> 69A.</w:t>
      </w:r>
    </w:p>
  </w:footnote>
  <w:footnote w:id="51">
    <w:p w14:paraId="6FC7F08E" w14:textId="53CD216B" w:rsidR="000A415F" w:rsidRPr="000A415F" w:rsidRDefault="000A415F">
      <w:pPr>
        <w:pStyle w:val="FootnoteText"/>
        <w:rPr>
          <w:rFonts w:ascii="Times New Roman" w:hAnsi="Times New Roman" w:cs="Times New Roman"/>
          <w:u w:val="single"/>
          <w:lang w:val="en-US"/>
        </w:rPr>
      </w:pPr>
      <w:r w:rsidRPr="00F76020">
        <w:rPr>
          <w:rStyle w:val="FootnoteReference"/>
          <w:rFonts w:ascii="Times New Roman" w:hAnsi="Times New Roman" w:cs="Times New Roman"/>
        </w:rPr>
        <w:footnoteRef/>
      </w:r>
      <w:r w:rsidRPr="00F76020">
        <w:rPr>
          <w:rFonts w:ascii="Times New Roman" w:hAnsi="Times New Roman" w:cs="Times New Roman"/>
        </w:rPr>
        <w:t xml:space="preserve"> </w:t>
      </w:r>
      <w:r w:rsidRPr="00F76020">
        <w:rPr>
          <w:rFonts w:ascii="Times New Roman" w:hAnsi="Times New Roman" w:cs="Times New Roman"/>
          <w:lang w:val="en-US"/>
        </w:rPr>
        <w:t>Schedule 1A.</w:t>
      </w:r>
    </w:p>
  </w:footnote>
  <w:footnote w:id="52">
    <w:p w14:paraId="0FC53C73" w14:textId="0C16A262" w:rsidR="00515B20" w:rsidRPr="00A724B6" w:rsidRDefault="00515B20">
      <w:pPr>
        <w:pStyle w:val="FootnoteText"/>
        <w:rPr>
          <w:rFonts w:ascii="Times New Roman" w:hAnsi="Times New Roman" w:cs="Times New Roman"/>
          <w:lang w:val="en-US"/>
        </w:rPr>
      </w:pPr>
      <w:r w:rsidRPr="00A724B6">
        <w:rPr>
          <w:rStyle w:val="FootnoteReference"/>
          <w:rFonts w:ascii="Times New Roman" w:hAnsi="Times New Roman" w:cs="Times New Roman"/>
        </w:rPr>
        <w:footnoteRef/>
      </w:r>
      <w:r w:rsidRPr="00A724B6">
        <w:rPr>
          <w:rFonts w:ascii="Times New Roman" w:hAnsi="Times New Roman" w:cs="Times New Roman"/>
        </w:rPr>
        <w:t xml:space="preserve"> </w:t>
      </w:r>
      <w:r w:rsidRPr="00A724B6">
        <w:rPr>
          <w:rFonts w:ascii="Times New Roman" w:hAnsi="Times New Roman" w:cs="Times New Roman"/>
          <w:i/>
          <w:iCs/>
        </w:rPr>
        <w:t>Facilitator Guide</w:t>
      </w:r>
      <w:r w:rsidR="00A724B6">
        <w:rPr>
          <w:rFonts w:ascii="Times New Roman" w:hAnsi="Times New Roman" w:cs="Times New Roman"/>
        </w:rPr>
        <w:t xml:space="preserve"> at </w:t>
      </w:r>
      <w:r w:rsidRPr="00A724B6">
        <w:rPr>
          <w:rFonts w:ascii="Times New Roman" w:hAnsi="Times New Roman" w:cs="Times New Roman"/>
        </w:rPr>
        <w:t>67.</w:t>
      </w:r>
    </w:p>
  </w:footnote>
  <w:footnote w:id="53">
    <w:p w14:paraId="445FBE76" w14:textId="69448FCB" w:rsidR="00940F8D" w:rsidRPr="006B2FAC" w:rsidRDefault="00940F8D">
      <w:pPr>
        <w:pStyle w:val="FootnoteText"/>
        <w:rPr>
          <w:rFonts w:ascii="Times New Roman" w:hAnsi="Times New Roman" w:cs="Times New Roman"/>
          <w:lang w:val="en-NZ"/>
        </w:rPr>
      </w:pPr>
      <w:r w:rsidRPr="00A724B6">
        <w:rPr>
          <w:rStyle w:val="FootnoteReference"/>
          <w:rFonts w:ascii="Times New Roman" w:hAnsi="Times New Roman" w:cs="Times New Roman"/>
        </w:rPr>
        <w:footnoteRef/>
      </w:r>
      <w:r w:rsidRPr="00A724B6">
        <w:rPr>
          <w:rFonts w:ascii="Times New Roman" w:hAnsi="Times New Roman" w:cs="Times New Roman"/>
        </w:rPr>
        <w:t xml:space="preserve"> </w:t>
      </w:r>
      <w:r w:rsidR="006B2FAC" w:rsidRPr="00A724B6">
        <w:rPr>
          <w:rFonts w:ascii="Times New Roman" w:hAnsi="Times New Roman" w:cs="Times New Roman"/>
          <w:i/>
          <w:iCs/>
          <w:lang w:val="en-NZ"/>
        </w:rPr>
        <w:t>ILO Report of the Director-General</w:t>
      </w:r>
      <w:r w:rsidR="006B2FAC" w:rsidRPr="006B2FAC">
        <w:rPr>
          <w:rFonts w:ascii="Times New Roman" w:hAnsi="Times New Roman" w:cs="Times New Roman"/>
          <w:i/>
          <w:iCs/>
          <w:lang w:val="en-NZ"/>
        </w:rPr>
        <w:t xml:space="preserve"> </w:t>
      </w:r>
      <w:r w:rsidR="006B2FAC" w:rsidRPr="00A724B6">
        <w:rPr>
          <w:rFonts w:ascii="Times New Roman" w:hAnsi="Times New Roman" w:cs="Times New Roman"/>
          <w:i/>
          <w:iCs/>
          <w:lang w:val="en-NZ"/>
        </w:rPr>
        <w:t>Fifth Supplementary Report: Outcome of the Meeting of Experts on Violence against Women and Men in the World of Work</w:t>
      </w:r>
      <w:r w:rsidR="006B2FAC">
        <w:rPr>
          <w:rFonts w:ascii="Times New Roman" w:hAnsi="Times New Roman" w:cs="Times New Roman"/>
          <w:i/>
          <w:iCs/>
          <w:lang w:val="en-NZ"/>
        </w:rPr>
        <w:t xml:space="preserve"> </w:t>
      </w:r>
      <w:r w:rsidR="006B2FAC">
        <w:rPr>
          <w:rFonts w:ascii="Times New Roman" w:hAnsi="Times New Roman" w:cs="Times New Roman"/>
          <w:lang w:val="en-NZ"/>
        </w:rPr>
        <w:t>GB.328/INS/17/15 (</w:t>
      </w:r>
      <w:r w:rsidR="006B2FAC" w:rsidRPr="006B2FAC">
        <w:rPr>
          <w:rFonts w:ascii="Times New Roman" w:hAnsi="Times New Roman" w:cs="Times New Roman"/>
          <w:lang w:val="en-NZ"/>
        </w:rPr>
        <w:t>328</w:t>
      </w:r>
      <w:r w:rsidR="006B2FAC" w:rsidRPr="006B2FAC">
        <w:rPr>
          <w:rFonts w:ascii="Times New Roman" w:hAnsi="Times New Roman" w:cs="Times New Roman"/>
          <w:vertAlign w:val="superscript"/>
          <w:lang w:val="en-NZ"/>
        </w:rPr>
        <w:t>th</w:t>
      </w:r>
      <w:r w:rsidR="006B2FAC" w:rsidRPr="006B2FAC">
        <w:rPr>
          <w:rFonts w:ascii="Times New Roman" w:hAnsi="Times New Roman" w:cs="Times New Roman"/>
          <w:lang w:val="en-NZ"/>
        </w:rPr>
        <w:t xml:space="preserve"> Session, 27 October-10 November 2016</w:t>
      </w:r>
      <w:r w:rsidR="006B2FAC">
        <w:rPr>
          <w:rFonts w:ascii="Times New Roman" w:hAnsi="Times New Roman" w:cs="Times New Roman"/>
          <w:lang w:val="en-NZ"/>
        </w:rPr>
        <w:t>)</w:t>
      </w:r>
      <w:r w:rsidR="006B2FAC" w:rsidRPr="006B2FAC">
        <w:rPr>
          <w:rFonts w:ascii="Times New Roman" w:hAnsi="Times New Roman" w:cs="Times New Roman"/>
          <w:lang w:val="en-NZ"/>
        </w:rPr>
        <w:t xml:space="preserve"> </w:t>
      </w:r>
      <w:r w:rsidR="006B2FAC">
        <w:rPr>
          <w:rFonts w:ascii="Times New Roman" w:hAnsi="Times New Roman" w:cs="Times New Roman"/>
          <w:lang w:val="en-NZ"/>
        </w:rPr>
        <w:t>at 8.</w:t>
      </w:r>
    </w:p>
  </w:footnote>
  <w:footnote w:id="54">
    <w:p w14:paraId="69E2D847" w14:textId="714CBC23" w:rsidR="00F21555" w:rsidRPr="00A724B6" w:rsidRDefault="00F21555">
      <w:pPr>
        <w:pStyle w:val="FootnoteText"/>
        <w:rPr>
          <w:lang w:val="en-US"/>
        </w:rPr>
      </w:pPr>
      <w:r w:rsidRPr="00A724B6">
        <w:rPr>
          <w:rStyle w:val="FootnoteReference"/>
          <w:rFonts w:ascii="Times New Roman" w:hAnsi="Times New Roman" w:cs="Times New Roman"/>
        </w:rPr>
        <w:footnoteRef/>
      </w:r>
      <w:r w:rsidRPr="00A724B6">
        <w:rPr>
          <w:rFonts w:ascii="Times New Roman" w:hAnsi="Times New Roman" w:cs="Times New Roman"/>
        </w:rPr>
        <w:t xml:space="preserve"> </w:t>
      </w:r>
      <w:r w:rsidR="00357143" w:rsidRPr="00A724B6">
        <w:rPr>
          <w:rFonts w:ascii="Times New Roman" w:hAnsi="Times New Roman" w:cs="Times New Roman"/>
          <w:lang w:val="en-US"/>
        </w:rPr>
        <w:t>Declaration of Philadelphi</w:t>
      </w:r>
      <w:r w:rsidR="005976F7">
        <w:rPr>
          <w:rFonts w:ascii="Times New Roman" w:hAnsi="Times New Roman" w:cs="Times New Roman"/>
          <w:lang w:val="en-US"/>
        </w:rPr>
        <w:t xml:space="preserve">a (signed </w:t>
      </w:r>
      <w:r w:rsidR="00D74A2A" w:rsidRPr="00A724B6">
        <w:rPr>
          <w:rFonts w:ascii="Times New Roman" w:hAnsi="Times New Roman" w:cs="Times New Roman"/>
          <w:lang w:val="en-US"/>
        </w:rPr>
        <w:t>10 May 1944</w:t>
      </w:r>
      <w:r w:rsidR="005976F7">
        <w:rPr>
          <w:rFonts w:ascii="Times New Roman" w:hAnsi="Times New Roman" w:cs="Times New Roman"/>
          <w:lang w:val="en-US"/>
        </w:rPr>
        <w:t>), art II(a).</w:t>
      </w:r>
    </w:p>
  </w:footnote>
  <w:footnote w:id="55">
    <w:p w14:paraId="5B75BFC5" w14:textId="4B603556" w:rsidR="00B85642" w:rsidRPr="006B2FAC" w:rsidRDefault="00B85642">
      <w:pPr>
        <w:pStyle w:val="FootnoteText"/>
        <w:rPr>
          <w:rFonts w:ascii="Times New Roman" w:hAnsi="Times New Roman" w:cs="Times New Roman"/>
          <w:u w:val="single"/>
          <w:lang w:val="en-NZ"/>
        </w:rPr>
      </w:pPr>
      <w:r w:rsidRPr="00A724B6">
        <w:rPr>
          <w:rStyle w:val="FootnoteReference"/>
          <w:rFonts w:ascii="Times New Roman" w:hAnsi="Times New Roman" w:cs="Times New Roman"/>
          <w:i/>
          <w:iCs/>
        </w:rPr>
        <w:footnoteRef/>
      </w:r>
      <w:r w:rsidRPr="00A724B6">
        <w:rPr>
          <w:rFonts w:ascii="Times New Roman" w:hAnsi="Times New Roman" w:cs="Times New Roman"/>
          <w:i/>
          <w:iCs/>
        </w:rPr>
        <w:t xml:space="preserve"> </w:t>
      </w:r>
      <w:r w:rsidR="00B00DB7">
        <w:rPr>
          <w:rFonts w:ascii="Times New Roman" w:hAnsi="Times New Roman" w:cs="Times New Roman"/>
          <w:i/>
          <w:iCs/>
        </w:rPr>
        <w:t xml:space="preserve">ILO Report of the Director-General, </w:t>
      </w:r>
      <w:r w:rsidR="00B00DB7">
        <w:rPr>
          <w:rFonts w:ascii="Times New Roman" w:hAnsi="Times New Roman" w:cs="Times New Roman"/>
        </w:rPr>
        <w:t xml:space="preserve">above n 54, </w:t>
      </w:r>
      <w:r w:rsidRPr="006B2FAC">
        <w:rPr>
          <w:rFonts w:ascii="Times New Roman" w:hAnsi="Times New Roman" w:cs="Times New Roman"/>
          <w:lang w:val="en-NZ"/>
        </w:rPr>
        <w:t>at 5.</w:t>
      </w:r>
    </w:p>
  </w:footnote>
  <w:footnote w:id="56">
    <w:p w14:paraId="3A5DDE0E" w14:textId="1601A5CC" w:rsidR="00C22441" w:rsidRPr="0021152A" w:rsidRDefault="00C22441">
      <w:pPr>
        <w:pStyle w:val="FootnoteText"/>
        <w:rPr>
          <w:rFonts w:ascii="Times New Roman" w:hAnsi="Times New Roman" w:cs="Times New Roman"/>
          <w:i/>
          <w:iCs/>
          <w:lang w:val="en-NZ"/>
        </w:rPr>
      </w:pPr>
      <w:r w:rsidRPr="0021152A">
        <w:rPr>
          <w:rStyle w:val="FootnoteReference"/>
          <w:rFonts w:ascii="Times New Roman" w:hAnsi="Times New Roman" w:cs="Times New Roman"/>
        </w:rPr>
        <w:footnoteRef/>
      </w:r>
      <w:r w:rsidRPr="0021152A">
        <w:rPr>
          <w:rFonts w:ascii="Times New Roman" w:hAnsi="Times New Roman" w:cs="Times New Roman"/>
        </w:rPr>
        <w:t xml:space="preserve"> </w:t>
      </w:r>
      <w:r w:rsidR="00105853" w:rsidRPr="00105853">
        <w:rPr>
          <w:rFonts w:ascii="Times New Roman" w:hAnsi="Times New Roman" w:cs="Times New Roman"/>
          <w:lang w:val="en-NZ"/>
        </w:rPr>
        <w:t xml:space="preserve">At </w:t>
      </w:r>
      <w:r w:rsidR="00105853">
        <w:rPr>
          <w:rFonts w:ascii="Times New Roman" w:hAnsi="Times New Roman" w:cs="Times New Roman"/>
          <w:lang w:val="en-NZ"/>
        </w:rPr>
        <w:t>8.</w:t>
      </w:r>
    </w:p>
  </w:footnote>
  <w:footnote w:id="57">
    <w:p w14:paraId="5E8175AB" w14:textId="73BBC1F2" w:rsidR="001A440A" w:rsidRPr="0021152A" w:rsidRDefault="001A440A">
      <w:pPr>
        <w:pStyle w:val="FootnoteText"/>
        <w:rPr>
          <w:rFonts w:ascii="Times New Roman" w:hAnsi="Times New Roman" w:cs="Times New Roman"/>
          <w:lang w:val="en-US"/>
        </w:rPr>
      </w:pPr>
      <w:r w:rsidRPr="0021152A">
        <w:rPr>
          <w:rStyle w:val="FootnoteReference"/>
          <w:rFonts w:ascii="Times New Roman" w:hAnsi="Times New Roman" w:cs="Times New Roman"/>
        </w:rPr>
        <w:footnoteRef/>
      </w:r>
      <w:r w:rsidRPr="0021152A">
        <w:rPr>
          <w:rFonts w:ascii="Times New Roman" w:hAnsi="Times New Roman" w:cs="Times New Roman"/>
        </w:rPr>
        <w:t xml:space="preserve"> </w:t>
      </w:r>
      <w:r w:rsidR="004E1C8B">
        <w:rPr>
          <w:rFonts w:ascii="Times New Roman" w:hAnsi="Times New Roman" w:cs="Times New Roman"/>
        </w:rPr>
        <w:t xml:space="preserve">Health and Safety at Work Act, above </w:t>
      </w:r>
      <w:r w:rsidR="00070E6A">
        <w:rPr>
          <w:rFonts w:ascii="Times New Roman" w:hAnsi="Times New Roman" w:cs="Times New Roman"/>
          <w:lang w:val="en-US"/>
        </w:rPr>
        <w:t>n</w:t>
      </w:r>
      <w:r w:rsidRPr="0021152A">
        <w:rPr>
          <w:rFonts w:ascii="Times New Roman" w:hAnsi="Times New Roman" w:cs="Times New Roman"/>
          <w:lang w:val="en-US"/>
        </w:rPr>
        <w:t xml:space="preserve"> 39.</w:t>
      </w:r>
    </w:p>
  </w:footnote>
  <w:footnote w:id="58">
    <w:p w14:paraId="073624A6" w14:textId="677C0DF8" w:rsidR="001A440A" w:rsidRPr="0021152A" w:rsidRDefault="001A440A">
      <w:pPr>
        <w:pStyle w:val="FootnoteText"/>
        <w:rPr>
          <w:lang w:val="en-US"/>
        </w:rPr>
      </w:pPr>
      <w:r w:rsidRPr="0021152A">
        <w:rPr>
          <w:rStyle w:val="FootnoteReference"/>
          <w:rFonts w:ascii="Times New Roman" w:hAnsi="Times New Roman" w:cs="Times New Roman"/>
        </w:rPr>
        <w:footnoteRef/>
      </w:r>
      <w:r w:rsidRPr="0021152A">
        <w:rPr>
          <w:rFonts w:ascii="Times New Roman" w:hAnsi="Times New Roman" w:cs="Times New Roman"/>
        </w:rPr>
        <w:t xml:space="preserve"> </w:t>
      </w:r>
      <w:r w:rsidR="004E1C8B">
        <w:rPr>
          <w:rFonts w:ascii="Times New Roman" w:hAnsi="Times New Roman" w:cs="Times New Roman"/>
        </w:rPr>
        <w:t>Employment Relations Act, above</w:t>
      </w:r>
      <w:r w:rsidRPr="0021152A">
        <w:rPr>
          <w:rFonts w:ascii="Times New Roman" w:hAnsi="Times New Roman" w:cs="Times New Roman"/>
          <w:lang w:val="en-US"/>
        </w:rPr>
        <w:t xml:space="preserve"> n 40.</w:t>
      </w:r>
    </w:p>
  </w:footnote>
  <w:footnote w:id="59">
    <w:p w14:paraId="543D4E05" w14:textId="474FA211" w:rsidR="00B63952" w:rsidRPr="0021152A" w:rsidRDefault="00B63952">
      <w:pPr>
        <w:pStyle w:val="FootnoteText"/>
        <w:rPr>
          <w:rFonts w:ascii="Times New Roman" w:hAnsi="Times New Roman" w:cs="Times New Roman"/>
          <w:lang w:val="en-US"/>
        </w:rPr>
      </w:pPr>
      <w:r w:rsidRPr="0021152A">
        <w:rPr>
          <w:rStyle w:val="FootnoteReference"/>
          <w:rFonts w:ascii="Times New Roman" w:hAnsi="Times New Roman" w:cs="Times New Roman"/>
        </w:rPr>
        <w:footnoteRef/>
      </w:r>
      <w:r w:rsidRPr="0021152A">
        <w:rPr>
          <w:rFonts w:ascii="Times New Roman" w:hAnsi="Times New Roman" w:cs="Times New Roman"/>
        </w:rPr>
        <w:t xml:space="preserve"> </w:t>
      </w:r>
      <w:r w:rsidRPr="0021152A">
        <w:rPr>
          <w:rFonts w:ascii="Times New Roman" w:hAnsi="Times New Roman" w:cs="Times New Roman"/>
          <w:lang w:val="en-US"/>
        </w:rPr>
        <w:t>W</w:t>
      </w:r>
      <w:r w:rsidR="00E94C12" w:rsidRPr="0021152A">
        <w:rPr>
          <w:rFonts w:ascii="Times New Roman" w:hAnsi="Times New Roman" w:cs="Times New Roman"/>
          <w:lang w:val="en-US"/>
        </w:rPr>
        <w:t xml:space="preserve">orld Health </w:t>
      </w:r>
      <w:r w:rsidRPr="0021152A">
        <w:rPr>
          <w:rFonts w:ascii="Times New Roman" w:hAnsi="Times New Roman" w:cs="Times New Roman"/>
          <w:lang w:val="en-US"/>
        </w:rPr>
        <w:t>O</w:t>
      </w:r>
      <w:r w:rsidR="00E94C12" w:rsidRPr="0021152A">
        <w:rPr>
          <w:rFonts w:ascii="Times New Roman" w:hAnsi="Times New Roman" w:cs="Times New Roman"/>
          <w:lang w:val="en-US"/>
        </w:rPr>
        <w:t>rganization</w:t>
      </w:r>
      <w:r w:rsidRPr="0021152A">
        <w:rPr>
          <w:rFonts w:ascii="Times New Roman" w:hAnsi="Times New Roman" w:cs="Times New Roman"/>
          <w:lang w:val="en-US"/>
        </w:rPr>
        <w:t xml:space="preserve"> </w:t>
      </w:r>
      <w:r w:rsidR="009D334A">
        <w:rPr>
          <w:rFonts w:ascii="Times New Roman" w:hAnsi="Times New Roman" w:cs="Times New Roman"/>
          <w:lang w:val="en-US"/>
        </w:rPr>
        <w:t>“</w:t>
      </w:r>
      <w:r w:rsidR="006B1434" w:rsidRPr="0021152A">
        <w:rPr>
          <w:rFonts w:ascii="Times New Roman" w:hAnsi="Times New Roman" w:cs="Times New Roman"/>
          <w:lang w:val="en-US"/>
        </w:rPr>
        <w:t xml:space="preserve">COVID-19 and </w:t>
      </w:r>
      <w:r w:rsidR="00B12420">
        <w:rPr>
          <w:rFonts w:ascii="Times New Roman" w:hAnsi="Times New Roman" w:cs="Times New Roman"/>
          <w:lang w:val="en-US"/>
        </w:rPr>
        <w:t>V</w:t>
      </w:r>
      <w:r w:rsidR="006B1434" w:rsidRPr="0021152A">
        <w:rPr>
          <w:rFonts w:ascii="Times New Roman" w:hAnsi="Times New Roman" w:cs="Times New Roman"/>
          <w:lang w:val="en-US"/>
        </w:rPr>
        <w:t xml:space="preserve">iolence against </w:t>
      </w:r>
      <w:r w:rsidR="00B12420">
        <w:rPr>
          <w:rFonts w:ascii="Times New Roman" w:hAnsi="Times New Roman" w:cs="Times New Roman"/>
          <w:lang w:val="en-US"/>
        </w:rPr>
        <w:t>W</w:t>
      </w:r>
      <w:r w:rsidR="006B1434" w:rsidRPr="0021152A">
        <w:rPr>
          <w:rFonts w:ascii="Times New Roman" w:hAnsi="Times New Roman" w:cs="Times New Roman"/>
          <w:lang w:val="en-US"/>
        </w:rPr>
        <w:t xml:space="preserve">omen; </w:t>
      </w:r>
      <w:r w:rsidR="00B12420">
        <w:rPr>
          <w:rFonts w:ascii="Times New Roman" w:hAnsi="Times New Roman" w:cs="Times New Roman"/>
          <w:lang w:val="en-US"/>
        </w:rPr>
        <w:t>w</w:t>
      </w:r>
      <w:r w:rsidR="006B1434" w:rsidRPr="0021152A">
        <w:rPr>
          <w:rFonts w:ascii="Times New Roman" w:hAnsi="Times New Roman" w:cs="Times New Roman"/>
          <w:lang w:val="en-US"/>
        </w:rPr>
        <w:t xml:space="preserve">hat the </w:t>
      </w:r>
      <w:r w:rsidR="00B12420">
        <w:rPr>
          <w:rFonts w:ascii="Times New Roman" w:hAnsi="Times New Roman" w:cs="Times New Roman"/>
          <w:lang w:val="en-US"/>
        </w:rPr>
        <w:t>H</w:t>
      </w:r>
      <w:r w:rsidR="006B1434" w:rsidRPr="0021152A">
        <w:rPr>
          <w:rFonts w:ascii="Times New Roman" w:hAnsi="Times New Roman" w:cs="Times New Roman"/>
          <w:lang w:val="en-US"/>
        </w:rPr>
        <w:t xml:space="preserve">ealth </w:t>
      </w:r>
      <w:r w:rsidR="00B12420">
        <w:rPr>
          <w:rFonts w:ascii="Times New Roman" w:hAnsi="Times New Roman" w:cs="Times New Roman"/>
          <w:lang w:val="en-US"/>
        </w:rPr>
        <w:t>S</w:t>
      </w:r>
      <w:r w:rsidR="006B1434" w:rsidRPr="0021152A">
        <w:rPr>
          <w:rFonts w:ascii="Times New Roman" w:hAnsi="Times New Roman" w:cs="Times New Roman"/>
          <w:lang w:val="en-US"/>
        </w:rPr>
        <w:t>ecto</w:t>
      </w:r>
      <w:r w:rsidR="00703609">
        <w:rPr>
          <w:rFonts w:ascii="Times New Roman" w:hAnsi="Times New Roman" w:cs="Times New Roman"/>
          <w:lang w:val="en-US"/>
        </w:rPr>
        <w:t>r/</w:t>
      </w:r>
      <w:r w:rsidR="00B12420">
        <w:rPr>
          <w:rFonts w:ascii="Times New Roman" w:hAnsi="Times New Roman" w:cs="Times New Roman"/>
          <w:lang w:val="en-US"/>
        </w:rPr>
        <w:t>S</w:t>
      </w:r>
      <w:r w:rsidR="006B1434" w:rsidRPr="0021152A">
        <w:rPr>
          <w:rFonts w:ascii="Times New Roman" w:hAnsi="Times New Roman" w:cs="Times New Roman"/>
          <w:lang w:val="en-US"/>
        </w:rPr>
        <w:t xml:space="preserve">ystem can </w:t>
      </w:r>
      <w:r w:rsidR="00B12420">
        <w:rPr>
          <w:rFonts w:ascii="Times New Roman" w:hAnsi="Times New Roman" w:cs="Times New Roman"/>
          <w:lang w:val="en-US"/>
        </w:rPr>
        <w:t>d</w:t>
      </w:r>
      <w:r w:rsidR="006B1434" w:rsidRPr="0021152A">
        <w:rPr>
          <w:rFonts w:ascii="Times New Roman" w:hAnsi="Times New Roman" w:cs="Times New Roman"/>
          <w:lang w:val="en-US"/>
        </w:rPr>
        <w:t>o</w:t>
      </w:r>
      <w:r w:rsidR="009D334A">
        <w:rPr>
          <w:rFonts w:ascii="Times New Roman" w:hAnsi="Times New Roman" w:cs="Times New Roman"/>
          <w:lang w:val="en-US"/>
        </w:rPr>
        <w:t xml:space="preserve">” (report, </w:t>
      </w:r>
      <w:r w:rsidRPr="0021152A">
        <w:rPr>
          <w:rFonts w:ascii="Times New Roman" w:hAnsi="Times New Roman" w:cs="Times New Roman"/>
          <w:lang w:val="en-US"/>
        </w:rPr>
        <w:t>7 April 2020</w:t>
      </w:r>
      <w:r w:rsidR="009D334A">
        <w:rPr>
          <w:rFonts w:ascii="Times New Roman" w:hAnsi="Times New Roman" w:cs="Times New Roman"/>
          <w:lang w:val="en-US"/>
        </w:rPr>
        <w:t>)</w:t>
      </w:r>
      <w:r w:rsidRPr="0021152A">
        <w:rPr>
          <w:rFonts w:ascii="Times New Roman" w:hAnsi="Times New Roman" w:cs="Times New Roman"/>
          <w:lang w:val="en-US"/>
        </w:rPr>
        <w:t xml:space="preserve"> at 1.</w:t>
      </w:r>
    </w:p>
  </w:footnote>
  <w:footnote w:id="60">
    <w:p w14:paraId="764CBBF9" w14:textId="3C0E6D87" w:rsidR="00B63952" w:rsidRPr="0021152A" w:rsidRDefault="00B63952">
      <w:pPr>
        <w:pStyle w:val="FootnoteText"/>
        <w:rPr>
          <w:rFonts w:ascii="Times New Roman" w:hAnsi="Times New Roman" w:cs="Times New Roman"/>
          <w:lang w:val="en-US"/>
        </w:rPr>
      </w:pPr>
      <w:r w:rsidRPr="0021152A">
        <w:rPr>
          <w:rStyle w:val="FootnoteReference"/>
          <w:rFonts w:ascii="Times New Roman" w:hAnsi="Times New Roman" w:cs="Times New Roman"/>
        </w:rPr>
        <w:footnoteRef/>
      </w:r>
      <w:r w:rsidRPr="0021152A">
        <w:rPr>
          <w:rFonts w:ascii="Times New Roman" w:hAnsi="Times New Roman" w:cs="Times New Roman"/>
        </w:rPr>
        <w:t xml:space="preserve"> </w:t>
      </w:r>
      <w:r w:rsidR="009D334A">
        <w:rPr>
          <w:rFonts w:ascii="Times New Roman" w:hAnsi="Times New Roman" w:cs="Times New Roman"/>
        </w:rPr>
        <w:t>At 1.</w:t>
      </w:r>
    </w:p>
  </w:footnote>
  <w:footnote w:id="61">
    <w:p w14:paraId="0AAB6557" w14:textId="3A3D5C2B" w:rsidR="008B3FBF" w:rsidRPr="008B3FBF" w:rsidRDefault="008B3FBF">
      <w:pPr>
        <w:pStyle w:val="FootnoteText"/>
        <w:rPr>
          <w:rFonts w:ascii="Times New Roman" w:hAnsi="Times New Roman" w:cs="Times New Roman"/>
          <w:u w:val="single"/>
          <w:lang w:val="en-US"/>
        </w:rPr>
      </w:pPr>
      <w:r w:rsidRPr="0021152A">
        <w:rPr>
          <w:rStyle w:val="FootnoteReference"/>
          <w:rFonts w:ascii="Times New Roman" w:hAnsi="Times New Roman" w:cs="Times New Roman"/>
        </w:rPr>
        <w:footnoteRef/>
      </w:r>
      <w:r w:rsidRPr="0021152A">
        <w:rPr>
          <w:rFonts w:ascii="Times New Roman" w:hAnsi="Times New Roman" w:cs="Times New Roman"/>
        </w:rPr>
        <w:t xml:space="preserve"> </w:t>
      </w:r>
      <w:r w:rsidR="009D334A">
        <w:rPr>
          <w:rFonts w:ascii="Times New Roman" w:hAnsi="Times New Roman" w:cs="Times New Roman"/>
          <w:lang w:val="en-US"/>
        </w:rPr>
        <w:t>At 1.</w:t>
      </w:r>
    </w:p>
  </w:footnote>
  <w:footnote w:id="62">
    <w:p w14:paraId="5F86C4AD" w14:textId="74AF7AED" w:rsidR="0022538F" w:rsidRPr="00234367" w:rsidRDefault="0022538F">
      <w:pPr>
        <w:pStyle w:val="FootnoteText"/>
        <w:rPr>
          <w:rFonts w:ascii="Times New Roman" w:hAnsi="Times New Roman" w:cs="Times New Roman"/>
          <w:lang w:val="en-US"/>
        </w:rPr>
      </w:pPr>
      <w:r w:rsidRPr="00234367">
        <w:rPr>
          <w:rStyle w:val="FootnoteReference"/>
          <w:rFonts w:ascii="Times New Roman" w:hAnsi="Times New Roman" w:cs="Times New Roman"/>
        </w:rPr>
        <w:footnoteRef/>
      </w:r>
      <w:r w:rsidRPr="00234367">
        <w:rPr>
          <w:rFonts w:ascii="Times New Roman" w:hAnsi="Times New Roman" w:cs="Times New Roman"/>
        </w:rPr>
        <w:t xml:space="preserve"> </w:t>
      </w:r>
      <w:r w:rsidR="00234367">
        <w:rPr>
          <w:rFonts w:ascii="Times New Roman" w:hAnsi="Times New Roman" w:cs="Times New Roman"/>
        </w:rPr>
        <w:t xml:space="preserve">At </w:t>
      </w:r>
      <w:r w:rsidRPr="00234367">
        <w:rPr>
          <w:rFonts w:ascii="Times New Roman" w:hAnsi="Times New Roman" w:cs="Times New Roman"/>
        </w:rPr>
        <w:t xml:space="preserve">2. </w:t>
      </w:r>
    </w:p>
  </w:footnote>
  <w:footnote w:id="63">
    <w:p w14:paraId="2C16AC01" w14:textId="63A76E9E" w:rsidR="00FA033F" w:rsidRPr="00234367" w:rsidRDefault="00FA033F">
      <w:pPr>
        <w:pStyle w:val="FootnoteText"/>
        <w:rPr>
          <w:rFonts w:ascii="Times New Roman" w:hAnsi="Times New Roman" w:cs="Times New Roman"/>
          <w:lang w:val="en-US"/>
        </w:rPr>
      </w:pPr>
      <w:r w:rsidRPr="00234367">
        <w:rPr>
          <w:rStyle w:val="FootnoteReference"/>
          <w:rFonts w:ascii="Times New Roman" w:hAnsi="Times New Roman" w:cs="Times New Roman"/>
        </w:rPr>
        <w:footnoteRef/>
      </w:r>
      <w:r w:rsidRPr="00234367">
        <w:rPr>
          <w:rFonts w:ascii="Times New Roman" w:hAnsi="Times New Roman" w:cs="Times New Roman"/>
        </w:rPr>
        <w:t xml:space="preserve"> </w:t>
      </w:r>
      <w:r w:rsidR="00234367">
        <w:rPr>
          <w:rFonts w:ascii="Times New Roman" w:hAnsi="Times New Roman" w:cs="Times New Roman"/>
          <w:lang w:val="en-US"/>
        </w:rPr>
        <w:t xml:space="preserve">At </w:t>
      </w:r>
      <w:r w:rsidRPr="00234367">
        <w:rPr>
          <w:rFonts w:ascii="Times New Roman" w:hAnsi="Times New Roman" w:cs="Times New Roman"/>
          <w:lang w:val="en-US"/>
        </w:rPr>
        <w:t>3.</w:t>
      </w:r>
    </w:p>
  </w:footnote>
  <w:footnote w:id="64">
    <w:p w14:paraId="3741C2C9" w14:textId="3C402078" w:rsidR="00EB442B" w:rsidRPr="00EB442B" w:rsidRDefault="00EB442B">
      <w:pPr>
        <w:pStyle w:val="FootnoteText"/>
        <w:rPr>
          <w:rFonts w:ascii="Times New Roman" w:hAnsi="Times New Roman" w:cs="Times New Roman"/>
          <w:u w:val="single"/>
          <w:lang w:val="en-US"/>
        </w:rPr>
      </w:pPr>
      <w:r w:rsidRPr="00234367">
        <w:rPr>
          <w:rStyle w:val="FootnoteReference"/>
          <w:rFonts w:ascii="Times New Roman" w:hAnsi="Times New Roman" w:cs="Times New Roman"/>
        </w:rPr>
        <w:footnoteRef/>
      </w:r>
      <w:r w:rsidRPr="00234367">
        <w:rPr>
          <w:rFonts w:ascii="Times New Roman" w:hAnsi="Times New Roman" w:cs="Times New Roman"/>
        </w:rPr>
        <w:t xml:space="preserve"> </w:t>
      </w:r>
      <w:r w:rsidR="00234367">
        <w:rPr>
          <w:rFonts w:ascii="Times New Roman" w:hAnsi="Times New Roman" w:cs="Times New Roman"/>
          <w:lang w:val="en-US"/>
        </w:rPr>
        <w:t>At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D957" w14:textId="36DC7217" w:rsidR="00D93CED" w:rsidRDefault="00D93CED" w:rsidP="00D93CED">
    <w:pPr>
      <w:pStyle w:val="Header"/>
      <w:jc w:val="right"/>
      <w:rPr>
        <w:rFonts w:ascii="Times New Roman" w:hAnsi="Times New Roman" w:cs="Times New Roman"/>
        <w:sz w:val="16"/>
        <w:szCs w:val="16"/>
      </w:rPr>
    </w:pPr>
    <w:r w:rsidRPr="00D93CED">
      <w:rPr>
        <w:rFonts w:ascii="Times New Roman" w:hAnsi="Times New Roman" w:cs="Times New Roman"/>
        <w:sz w:val="16"/>
        <w:szCs w:val="16"/>
      </w:rPr>
      <w:t>ILO Convention 190</w:t>
    </w:r>
  </w:p>
  <w:p w14:paraId="42119B25" w14:textId="25D3760C" w:rsidR="00E01FF6" w:rsidRPr="00D93CED" w:rsidRDefault="00E01FF6" w:rsidP="00D93CED">
    <w:pPr>
      <w:pStyle w:val="Header"/>
      <w:jc w:val="right"/>
      <w:rPr>
        <w:rFonts w:ascii="Times New Roman" w:hAnsi="Times New Roman" w:cs="Times New Roman"/>
        <w:sz w:val="16"/>
        <w:szCs w:val="16"/>
      </w:rPr>
    </w:pPr>
    <w:r>
      <w:rPr>
        <w:rFonts w:ascii="Times New Roman" w:hAnsi="Times New Roman" w:cs="Times New Roman"/>
        <w:sz w:val="16"/>
        <w:szCs w:val="16"/>
      </w:rPr>
      <w:t>United Nations Association of New Zealand</w:t>
    </w:r>
  </w:p>
  <w:p w14:paraId="7AB3261F" w14:textId="77777777" w:rsidR="00D93CED" w:rsidRDefault="00D93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B3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D576F7"/>
    <w:multiLevelType w:val="multilevel"/>
    <w:tmpl w:val="9E2A23E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1C7974CB"/>
    <w:multiLevelType w:val="multilevel"/>
    <w:tmpl w:val="709EED80"/>
    <w:lvl w:ilvl="0">
      <w:start w:val="1"/>
      <w:numFmt w:val="upperRoman"/>
      <w:pStyle w:val="Heading1"/>
      <w:lvlText w:val="%1."/>
      <w:lvlJc w:val="left"/>
      <w:pPr>
        <w:ind w:left="0" w:firstLine="0"/>
      </w:pPr>
      <w:rPr>
        <w:rFonts w:ascii="Times New Roman" w:hAnsi="Times New Roman" w:cs="Times New Roman" w:hint="default"/>
      </w:rPr>
    </w:lvl>
    <w:lvl w:ilvl="1">
      <w:start w:val="1"/>
      <w:numFmt w:val="upperLetter"/>
      <w:pStyle w:val="Heading2"/>
      <w:lvlText w:val="%2"/>
      <w:lvlJc w:val="left"/>
      <w:pPr>
        <w:ind w:left="720" w:firstLine="0"/>
      </w:pPr>
      <w:rPr>
        <w:rFonts w:hint="default"/>
        <w:b w:val="0"/>
        <w:bCs w:val="0"/>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3BF14097"/>
    <w:multiLevelType w:val="hybridMultilevel"/>
    <w:tmpl w:val="056427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843B4D"/>
    <w:multiLevelType w:val="hybridMultilevel"/>
    <w:tmpl w:val="F45652FA"/>
    <w:lvl w:ilvl="0" w:tplc="D67005FC">
      <w:start w:val="2324"/>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B6"/>
    <w:rsid w:val="000008F5"/>
    <w:rsid w:val="000025DC"/>
    <w:rsid w:val="000028BB"/>
    <w:rsid w:val="00004049"/>
    <w:rsid w:val="000062B0"/>
    <w:rsid w:val="0002204A"/>
    <w:rsid w:val="00023528"/>
    <w:rsid w:val="0002701D"/>
    <w:rsid w:val="00036035"/>
    <w:rsid w:val="00036D80"/>
    <w:rsid w:val="00046E52"/>
    <w:rsid w:val="00052DAF"/>
    <w:rsid w:val="00053159"/>
    <w:rsid w:val="00054C7C"/>
    <w:rsid w:val="00063508"/>
    <w:rsid w:val="0007059E"/>
    <w:rsid w:val="00070E6A"/>
    <w:rsid w:val="00075DD8"/>
    <w:rsid w:val="00076428"/>
    <w:rsid w:val="0008275B"/>
    <w:rsid w:val="00094479"/>
    <w:rsid w:val="000A08CD"/>
    <w:rsid w:val="000A4120"/>
    <w:rsid w:val="000A415F"/>
    <w:rsid w:val="000A4F5F"/>
    <w:rsid w:val="000A57A5"/>
    <w:rsid w:val="000B2579"/>
    <w:rsid w:val="000B4063"/>
    <w:rsid w:val="000B4365"/>
    <w:rsid w:val="000D2226"/>
    <w:rsid w:val="000D2B26"/>
    <w:rsid w:val="000D76E8"/>
    <w:rsid w:val="000E0703"/>
    <w:rsid w:val="000E6DCC"/>
    <w:rsid w:val="000E7F2F"/>
    <w:rsid w:val="000F1670"/>
    <w:rsid w:val="000F1A56"/>
    <w:rsid w:val="000F3BFC"/>
    <w:rsid w:val="00105853"/>
    <w:rsid w:val="00111461"/>
    <w:rsid w:val="00111520"/>
    <w:rsid w:val="00111FD7"/>
    <w:rsid w:val="00114A74"/>
    <w:rsid w:val="0012039D"/>
    <w:rsid w:val="00127881"/>
    <w:rsid w:val="0013031C"/>
    <w:rsid w:val="00162718"/>
    <w:rsid w:val="00163896"/>
    <w:rsid w:val="001703D8"/>
    <w:rsid w:val="0017394C"/>
    <w:rsid w:val="00173E0D"/>
    <w:rsid w:val="001906D4"/>
    <w:rsid w:val="00194D14"/>
    <w:rsid w:val="00197FFC"/>
    <w:rsid w:val="001A440A"/>
    <w:rsid w:val="001A6A1A"/>
    <w:rsid w:val="001D04FD"/>
    <w:rsid w:val="001D440E"/>
    <w:rsid w:val="001D4A9D"/>
    <w:rsid w:val="001E7EA1"/>
    <w:rsid w:val="002004D2"/>
    <w:rsid w:val="00203DB2"/>
    <w:rsid w:val="002065F6"/>
    <w:rsid w:val="0021152A"/>
    <w:rsid w:val="00214706"/>
    <w:rsid w:val="0022538F"/>
    <w:rsid w:val="0022712C"/>
    <w:rsid w:val="00234367"/>
    <w:rsid w:val="002357C3"/>
    <w:rsid w:val="00237C8A"/>
    <w:rsid w:val="00242C55"/>
    <w:rsid w:val="0025013A"/>
    <w:rsid w:val="00253F3A"/>
    <w:rsid w:val="00253FD8"/>
    <w:rsid w:val="00256069"/>
    <w:rsid w:val="00262C16"/>
    <w:rsid w:val="0027012B"/>
    <w:rsid w:val="0027191F"/>
    <w:rsid w:val="00283B0A"/>
    <w:rsid w:val="002909CE"/>
    <w:rsid w:val="002B3307"/>
    <w:rsid w:val="002E5F18"/>
    <w:rsid w:val="002E652A"/>
    <w:rsid w:val="002F1F9B"/>
    <w:rsid w:val="00304562"/>
    <w:rsid w:val="0030713C"/>
    <w:rsid w:val="0031289F"/>
    <w:rsid w:val="00317E59"/>
    <w:rsid w:val="003233EA"/>
    <w:rsid w:val="00325009"/>
    <w:rsid w:val="00330B36"/>
    <w:rsid w:val="00341B93"/>
    <w:rsid w:val="0035056C"/>
    <w:rsid w:val="00357143"/>
    <w:rsid w:val="003641A0"/>
    <w:rsid w:val="0036482D"/>
    <w:rsid w:val="00366275"/>
    <w:rsid w:val="00366970"/>
    <w:rsid w:val="0036768E"/>
    <w:rsid w:val="003719A9"/>
    <w:rsid w:val="003830C2"/>
    <w:rsid w:val="0038766A"/>
    <w:rsid w:val="003876E1"/>
    <w:rsid w:val="00390005"/>
    <w:rsid w:val="003A015F"/>
    <w:rsid w:val="003D1849"/>
    <w:rsid w:val="003D7A5F"/>
    <w:rsid w:val="003F5653"/>
    <w:rsid w:val="004050D0"/>
    <w:rsid w:val="00413AE7"/>
    <w:rsid w:val="00416B29"/>
    <w:rsid w:val="0043454B"/>
    <w:rsid w:val="00435D93"/>
    <w:rsid w:val="00452A69"/>
    <w:rsid w:val="00454C43"/>
    <w:rsid w:val="0046049D"/>
    <w:rsid w:val="0046093D"/>
    <w:rsid w:val="00460E51"/>
    <w:rsid w:val="00462E30"/>
    <w:rsid w:val="00476851"/>
    <w:rsid w:val="00484B79"/>
    <w:rsid w:val="00487BD1"/>
    <w:rsid w:val="004A5E25"/>
    <w:rsid w:val="004B58D6"/>
    <w:rsid w:val="004C6B9D"/>
    <w:rsid w:val="004D14BA"/>
    <w:rsid w:val="004D3D48"/>
    <w:rsid w:val="004E1C8B"/>
    <w:rsid w:val="004E2E20"/>
    <w:rsid w:val="00505EF7"/>
    <w:rsid w:val="00507FC0"/>
    <w:rsid w:val="00515B20"/>
    <w:rsid w:val="00524A0D"/>
    <w:rsid w:val="00525188"/>
    <w:rsid w:val="00530F17"/>
    <w:rsid w:val="00542F2E"/>
    <w:rsid w:val="005513E1"/>
    <w:rsid w:val="005533A2"/>
    <w:rsid w:val="005544F5"/>
    <w:rsid w:val="005623FD"/>
    <w:rsid w:val="00566797"/>
    <w:rsid w:val="00566A8B"/>
    <w:rsid w:val="00573F35"/>
    <w:rsid w:val="00577521"/>
    <w:rsid w:val="00580119"/>
    <w:rsid w:val="00580D0F"/>
    <w:rsid w:val="005826C8"/>
    <w:rsid w:val="0058407A"/>
    <w:rsid w:val="0058758E"/>
    <w:rsid w:val="00587AD4"/>
    <w:rsid w:val="00591981"/>
    <w:rsid w:val="00591BF7"/>
    <w:rsid w:val="005976F7"/>
    <w:rsid w:val="005A5C01"/>
    <w:rsid w:val="005A6A61"/>
    <w:rsid w:val="005B1447"/>
    <w:rsid w:val="005B2A34"/>
    <w:rsid w:val="005B5F53"/>
    <w:rsid w:val="005C2C56"/>
    <w:rsid w:val="005C339E"/>
    <w:rsid w:val="005C5607"/>
    <w:rsid w:val="005C598C"/>
    <w:rsid w:val="005F2B73"/>
    <w:rsid w:val="0060077D"/>
    <w:rsid w:val="00601167"/>
    <w:rsid w:val="00616736"/>
    <w:rsid w:val="00623AE1"/>
    <w:rsid w:val="0062597B"/>
    <w:rsid w:val="00634E73"/>
    <w:rsid w:val="006524C7"/>
    <w:rsid w:val="00662012"/>
    <w:rsid w:val="00663981"/>
    <w:rsid w:val="00666076"/>
    <w:rsid w:val="0066643A"/>
    <w:rsid w:val="00670C3E"/>
    <w:rsid w:val="006853C2"/>
    <w:rsid w:val="006900B7"/>
    <w:rsid w:val="00695041"/>
    <w:rsid w:val="00695979"/>
    <w:rsid w:val="006B0A88"/>
    <w:rsid w:val="006B1434"/>
    <w:rsid w:val="006B23B6"/>
    <w:rsid w:val="006B2FAC"/>
    <w:rsid w:val="006B61C2"/>
    <w:rsid w:val="006C06D0"/>
    <w:rsid w:val="006C4D37"/>
    <w:rsid w:val="006D20BE"/>
    <w:rsid w:val="006D3DC9"/>
    <w:rsid w:val="006F0CDB"/>
    <w:rsid w:val="00703609"/>
    <w:rsid w:val="00705B07"/>
    <w:rsid w:val="007129DB"/>
    <w:rsid w:val="00715A3C"/>
    <w:rsid w:val="007209A2"/>
    <w:rsid w:val="007210F6"/>
    <w:rsid w:val="007212EB"/>
    <w:rsid w:val="007221B2"/>
    <w:rsid w:val="007245F3"/>
    <w:rsid w:val="00724F7B"/>
    <w:rsid w:val="00733AB6"/>
    <w:rsid w:val="00734931"/>
    <w:rsid w:val="007374EE"/>
    <w:rsid w:val="00742F98"/>
    <w:rsid w:val="00745C22"/>
    <w:rsid w:val="00750437"/>
    <w:rsid w:val="00750A05"/>
    <w:rsid w:val="00754DCA"/>
    <w:rsid w:val="00755098"/>
    <w:rsid w:val="00773A37"/>
    <w:rsid w:val="00783162"/>
    <w:rsid w:val="00784D4E"/>
    <w:rsid w:val="00785711"/>
    <w:rsid w:val="00785D3D"/>
    <w:rsid w:val="00787F79"/>
    <w:rsid w:val="007934EB"/>
    <w:rsid w:val="00795401"/>
    <w:rsid w:val="00796002"/>
    <w:rsid w:val="007A6402"/>
    <w:rsid w:val="007B4963"/>
    <w:rsid w:val="007D3CF8"/>
    <w:rsid w:val="007F20BD"/>
    <w:rsid w:val="007F21ED"/>
    <w:rsid w:val="00805BDB"/>
    <w:rsid w:val="0080756E"/>
    <w:rsid w:val="008250A2"/>
    <w:rsid w:val="008408AB"/>
    <w:rsid w:val="008414F0"/>
    <w:rsid w:val="0085470A"/>
    <w:rsid w:val="0086245B"/>
    <w:rsid w:val="00871626"/>
    <w:rsid w:val="00874C1B"/>
    <w:rsid w:val="0088056A"/>
    <w:rsid w:val="00882E17"/>
    <w:rsid w:val="008864A7"/>
    <w:rsid w:val="00896FCA"/>
    <w:rsid w:val="008A2CEE"/>
    <w:rsid w:val="008A389B"/>
    <w:rsid w:val="008B2CF3"/>
    <w:rsid w:val="008B3FBF"/>
    <w:rsid w:val="008B5DD9"/>
    <w:rsid w:val="008C4E45"/>
    <w:rsid w:val="008E5D0E"/>
    <w:rsid w:val="008E77A5"/>
    <w:rsid w:val="008F16AC"/>
    <w:rsid w:val="008F5411"/>
    <w:rsid w:val="008F626A"/>
    <w:rsid w:val="008F6BE9"/>
    <w:rsid w:val="0090412F"/>
    <w:rsid w:val="009174F7"/>
    <w:rsid w:val="00921F98"/>
    <w:rsid w:val="0092200C"/>
    <w:rsid w:val="00922178"/>
    <w:rsid w:val="009240BE"/>
    <w:rsid w:val="0092620E"/>
    <w:rsid w:val="00931065"/>
    <w:rsid w:val="00940F8D"/>
    <w:rsid w:val="00944EAD"/>
    <w:rsid w:val="00947848"/>
    <w:rsid w:val="00960EB0"/>
    <w:rsid w:val="00973CE1"/>
    <w:rsid w:val="0099447E"/>
    <w:rsid w:val="009B1AFE"/>
    <w:rsid w:val="009B2A19"/>
    <w:rsid w:val="009B43A0"/>
    <w:rsid w:val="009C1697"/>
    <w:rsid w:val="009C2B96"/>
    <w:rsid w:val="009C5A24"/>
    <w:rsid w:val="009D094A"/>
    <w:rsid w:val="009D334A"/>
    <w:rsid w:val="009E1E2E"/>
    <w:rsid w:val="009F0317"/>
    <w:rsid w:val="00A00F78"/>
    <w:rsid w:val="00A0226C"/>
    <w:rsid w:val="00A02B46"/>
    <w:rsid w:val="00A03F56"/>
    <w:rsid w:val="00A06EEC"/>
    <w:rsid w:val="00A23604"/>
    <w:rsid w:val="00A32E81"/>
    <w:rsid w:val="00A37705"/>
    <w:rsid w:val="00A4173F"/>
    <w:rsid w:val="00A4770E"/>
    <w:rsid w:val="00A5591F"/>
    <w:rsid w:val="00A57314"/>
    <w:rsid w:val="00A57ED3"/>
    <w:rsid w:val="00A702A2"/>
    <w:rsid w:val="00A724B6"/>
    <w:rsid w:val="00A74482"/>
    <w:rsid w:val="00A74B87"/>
    <w:rsid w:val="00A754C7"/>
    <w:rsid w:val="00A803EE"/>
    <w:rsid w:val="00A9130F"/>
    <w:rsid w:val="00A937DF"/>
    <w:rsid w:val="00AA2FC0"/>
    <w:rsid w:val="00AB3CA1"/>
    <w:rsid w:val="00AE0CB3"/>
    <w:rsid w:val="00AE28B3"/>
    <w:rsid w:val="00AF32A0"/>
    <w:rsid w:val="00AF3657"/>
    <w:rsid w:val="00AF3EF3"/>
    <w:rsid w:val="00B00DB7"/>
    <w:rsid w:val="00B01D4B"/>
    <w:rsid w:val="00B12420"/>
    <w:rsid w:val="00B13CC6"/>
    <w:rsid w:val="00B24A35"/>
    <w:rsid w:val="00B26AB9"/>
    <w:rsid w:val="00B26AC8"/>
    <w:rsid w:val="00B31D9B"/>
    <w:rsid w:val="00B35DF6"/>
    <w:rsid w:val="00B42E49"/>
    <w:rsid w:val="00B45C15"/>
    <w:rsid w:val="00B53606"/>
    <w:rsid w:val="00B539D0"/>
    <w:rsid w:val="00B5588B"/>
    <w:rsid w:val="00B57B7F"/>
    <w:rsid w:val="00B63952"/>
    <w:rsid w:val="00B655DC"/>
    <w:rsid w:val="00B65601"/>
    <w:rsid w:val="00B722DE"/>
    <w:rsid w:val="00B76687"/>
    <w:rsid w:val="00B76819"/>
    <w:rsid w:val="00B775BC"/>
    <w:rsid w:val="00B85642"/>
    <w:rsid w:val="00B92546"/>
    <w:rsid w:val="00BA1789"/>
    <w:rsid w:val="00BA2808"/>
    <w:rsid w:val="00BC4B9B"/>
    <w:rsid w:val="00BF4463"/>
    <w:rsid w:val="00BF764F"/>
    <w:rsid w:val="00C1032E"/>
    <w:rsid w:val="00C12C1D"/>
    <w:rsid w:val="00C20C50"/>
    <w:rsid w:val="00C22441"/>
    <w:rsid w:val="00C22641"/>
    <w:rsid w:val="00C24626"/>
    <w:rsid w:val="00C27FA7"/>
    <w:rsid w:val="00C31D7D"/>
    <w:rsid w:val="00C379BF"/>
    <w:rsid w:val="00C447DD"/>
    <w:rsid w:val="00C63C89"/>
    <w:rsid w:val="00C65A04"/>
    <w:rsid w:val="00C7142D"/>
    <w:rsid w:val="00C846A5"/>
    <w:rsid w:val="00C85ACF"/>
    <w:rsid w:val="00C90BED"/>
    <w:rsid w:val="00C9654B"/>
    <w:rsid w:val="00C96F7C"/>
    <w:rsid w:val="00CA420F"/>
    <w:rsid w:val="00CA7043"/>
    <w:rsid w:val="00CB13D1"/>
    <w:rsid w:val="00CB2A3F"/>
    <w:rsid w:val="00CB5661"/>
    <w:rsid w:val="00CB7FBC"/>
    <w:rsid w:val="00CC2582"/>
    <w:rsid w:val="00CC7911"/>
    <w:rsid w:val="00CD0F3E"/>
    <w:rsid w:val="00CD1517"/>
    <w:rsid w:val="00CE15CB"/>
    <w:rsid w:val="00CE54FD"/>
    <w:rsid w:val="00CE6401"/>
    <w:rsid w:val="00D055B9"/>
    <w:rsid w:val="00D118FC"/>
    <w:rsid w:val="00D13075"/>
    <w:rsid w:val="00D275D3"/>
    <w:rsid w:val="00D27AA5"/>
    <w:rsid w:val="00D3355B"/>
    <w:rsid w:val="00D50BCE"/>
    <w:rsid w:val="00D54852"/>
    <w:rsid w:val="00D54BDF"/>
    <w:rsid w:val="00D6730A"/>
    <w:rsid w:val="00D716F7"/>
    <w:rsid w:val="00D74A2A"/>
    <w:rsid w:val="00D82B8C"/>
    <w:rsid w:val="00D87B21"/>
    <w:rsid w:val="00D9360F"/>
    <w:rsid w:val="00D93CED"/>
    <w:rsid w:val="00D94ED8"/>
    <w:rsid w:val="00D9767B"/>
    <w:rsid w:val="00D97DA6"/>
    <w:rsid w:val="00DA13EA"/>
    <w:rsid w:val="00DA478C"/>
    <w:rsid w:val="00DA6A5C"/>
    <w:rsid w:val="00DC0799"/>
    <w:rsid w:val="00DD440A"/>
    <w:rsid w:val="00DD618B"/>
    <w:rsid w:val="00DE14FB"/>
    <w:rsid w:val="00DE1580"/>
    <w:rsid w:val="00DE3761"/>
    <w:rsid w:val="00DF295A"/>
    <w:rsid w:val="00DF36D2"/>
    <w:rsid w:val="00DF46E6"/>
    <w:rsid w:val="00DF5721"/>
    <w:rsid w:val="00E01FF6"/>
    <w:rsid w:val="00E04384"/>
    <w:rsid w:val="00E072C6"/>
    <w:rsid w:val="00E211CC"/>
    <w:rsid w:val="00E2764C"/>
    <w:rsid w:val="00E37F38"/>
    <w:rsid w:val="00E46447"/>
    <w:rsid w:val="00E5439F"/>
    <w:rsid w:val="00E54F71"/>
    <w:rsid w:val="00E55ACE"/>
    <w:rsid w:val="00E63F85"/>
    <w:rsid w:val="00E67F0B"/>
    <w:rsid w:val="00E80109"/>
    <w:rsid w:val="00E8484B"/>
    <w:rsid w:val="00E8775D"/>
    <w:rsid w:val="00E87B9F"/>
    <w:rsid w:val="00E907EA"/>
    <w:rsid w:val="00E924CA"/>
    <w:rsid w:val="00E9330E"/>
    <w:rsid w:val="00E94C12"/>
    <w:rsid w:val="00EA2E8A"/>
    <w:rsid w:val="00EA5CDF"/>
    <w:rsid w:val="00EB0C72"/>
    <w:rsid w:val="00EB3352"/>
    <w:rsid w:val="00EB442B"/>
    <w:rsid w:val="00EB5D3E"/>
    <w:rsid w:val="00EB6891"/>
    <w:rsid w:val="00EC3407"/>
    <w:rsid w:val="00EC4587"/>
    <w:rsid w:val="00EC7E9A"/>
    <w:rsid w:val="00EE7FB2"/>
    <w:rsid w:val="00EF2F38"/>
    <w:rsid w:val="00EF75F2"/>
    <w:rsid w:val="00EF7A0A"/>
    <w:rsid w:val="00F11663"/>
    <w:rsid w:val="00F1691A"/>
    <w:rsid w:val="00F16CFA"/>
    <w:rsid w:val="00F17009"/>
    <w:rsid w:val="00F2114E"/>
    <w:rsid w:val="00F21555"/>
    <w:rsid w:val="00F21C25"/>
    <w:rsid w:val="00F3324F"/>
    <w:rsid w:val="00F37344"/>
    <w:rsid w:val="00F6197C"/>
    <w:rsid w:val="00F656F2"/>
    <w:rsid w:val="00F74E8D"/>
    <w:rsid w:val="00F76020"/>
    <w:rsid w:val="00F82D3E"/>
    <w:rsid w:val="00F83A71"/>
    <w:rsid w:val="00F846DE"/>
    <w:rsid w:val="00F863ED"/>
    <w:rsid w:val="00F87FC1"/>
    <w:rsid w:val="00FA033F"/>
    <w:rsid w:val="00FA4A86"/>
    <w:rsid w:val="00FC2F03"/>
    <w:rsid w:val="00FD02DC"/>
    <w:rsid w:val="00FD6AC4"/>
    <w:rsid w:val="00FE1AAC"/>
    <w:rsid w:val="00FF21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E09CC"/>
  <w15:chartTrackingRefBased/>
  <w15:docId w15:val="{708E087C-2262-4240-BACC-47FB4069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67F0B"/>
    <w:pPr>
      <w:keepNext/>
      <w:keepLines/>
      <w:numPr>
        <w:numId w:val="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7F0B"/>
    <w:pPr>
      <w:keepNext/>
      <w:keepLines/>
      <w:numPr>
        <w:ilvl w:val="1"/>
        <w:numId w:val="5"/>
      </w:numPr>
      <w:spacing w:before="40"/>
      <w:ind w:left="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unhideWhenUsed/>
    <w:qFormat/>
    <w:rsid w:val="005F2B73"/>
    <w:pPr>
      <w:keepNext/>
      <w:keepLines/>
      <w:numPr>
        <w:ilvl w:val="2"/>
        <w:numId w:val="5"/>
      </w:numPr>
      <w:spacing w:before="40"/>
      <w:ind w:left="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1"/>
    <w:uiPriority w:val="9"/>
    <w:semiHidden/>
    <w:unhideWhenUsed/>
    <w:qFormat/>
    <w:rsid w:val="00E67F0B"/>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iPriority w:val="9"/>
    <w:semiHidden/>
    <w:unhideWhenUsed/>
    <w:qFormat/>
    <w:rsid w:val="00E67F0B"/>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iPriority w:val="9"/>
    <w:semiHidden/>
    <w:unhideWhenUsed/>
    <w:qFormat/>
    <w:rsid w:val="00E67F0B"/>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1"/>
    <w:uiPriority w:val="9"/>
    <w:semiHidden/>
    <w:unhideWhenUsed/>
    <w:qFormat/>
    <w:rsid w:val="00E67F0B"/>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semiHidden/>
    <w:unhideWhenUsed/>
    <w:qFormat/>
    <w:rsid w:val="00E67F0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E67F0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66A"/>
    <w:pPr>
      <w:ind w:left="720"/>
      <w:contextualSpacing/>
    </w:pPr>
  </w:style>
  <w:style w:type="paragraph" w:styleId="FootnoteText">
    <w:name w:val="footnote text"/>
    <w:basedOn w:val="Normal"/>
    <w:link w:val="FootnoteTextChar"/>
    <w:uiPriority w:val="99"/>
    <w:semiHidden/>
    <w:unhideWhenUsed/>
    <w:rsid w:val="00256069"/>
    <w:rPr>
      <w:sz w:val="20"/>
      <w:szCs w:val="20"/>
    </w:rPr>
  </w:style>
  <w:style w:type="character" w:customStyle="1" w:styleId="FootnoteTextChar">
    <w:name w:val="Footnote Text Char"/>
    <w:basedOn w:val="DefaultParagraphFont"/>
    <w:link w:val="FootnoteText"/>
    <w:uiPriority w:val="99"/>
    <w:semiHidden/>
    <w:rsid w:val="00256069"/>
    <w:rPr>
      <w:sz w:val="20"/>
      <w:szCs w:val="20"/>
      <w:lang w:val="en-GB"/>
    </w:rPr>
  </w:style>
  <w:style w:type="character" w:styleId="FootnoteReference">
    <w:name w:val="footnote reference"/>
    <w:basedOn w:val="DefaultParagraphFont"/>
    <w:uiPriority w:val="99"/>
    <w:semiHidden/>
    <w:unhideWhenUsed/>
    <w:rsid w:val="00256069"/>
    <w:rPr>
      <w:vertAlign w:val="superscript"/>
    </w:rPr>
  </w:style>
  <w:style w:type="paragraph" w:styleId="Header">
    <w:name w:val="header"/>
    <w:basedOn w:val="Normal"/>
    <w:link w:val="HeaderChar"/>
    <w:uiPriority w:val="99"/>
    <w:unhideWhenUsed/>
    <w:rsid w:val="002909CE"/>
    <w:pPr>
      <w:tabs>
        <w:tab w:val="center" w:pos="4513"/>
        <w:tab w:val="right" w:pos="9026"/>
      </w:tabs>
    </w:pPr>
  </w:style>
  <w:style w:type="character" w:customStyle="1" w:styleId="HeaderChar">
    <w:name w:val="Header Char"/>
    <w:basedOn w:val="DefaultParagraphFont"/>
    <w:link w:val="Header"/>
    <w:uiPriority w:val="99"/>
    <w:rsid w:val="002909CE"/>
    <w:rPr>
      <w:lang w:val="en-GB"/>
    </w:rPr>
  </w:style>
  <w:style w:type="paragraph" w:styleId="Footer">
    <w:name w:val="footer"/>
    <w:basedOn w:val="Normal"/>
    <w:link w:val="FooterChar"/>
    <w:uiPriority w:val="99"/>
    <w:unhideWhenUsed/>
    <w:rsid w:val="002909CE"/>
    <w:pPr>
      <w:tabs>
        <w:tab w:val="center" w:pos="4513"/>
        <w:tab w:val="right" w:pos="9026"/>
      </w:tabs>
    </w:pPr>
  </w:style>
  <w:style w:type="character" w:customStyle="1" w:styleId="FooterChar">
    <w:name w:val="Footer Char"/>
    <w:basedOn w:val="DefaultParagraphFont"/>
    <w:link w:val="Footer"/>
    <w:uiPriority w:val="99"/>
    <w:rsid w:val="002909CE"/>
    <w:rPr>
      <w:lang w:val="en-GB"/>
    </w:rPr>
  </w:style>
  <w:style w:type="character" w:styleId="PageNumber">
    <w:name w:val="page number"/>
    <w:basedOn w:val="DefaultParagraphFont"/>
    <w:uiPriority w:val="99"/>
    <w:semiHidden/>
    <w:unhideWhenUsed/>
    <w:rsid w:val="00BA1789"/>
  </w:style>
  <w:style w:type="character" w:styleId="Hyperlink">
    <w:name w:val="Hyperlink"/>
    <w:basedOn w:val="DefaultParagraphFont"/>
    <w:uiPriority w:val="99"/>
    <w:unhideWhenUsed/>
    <w:rsid w:val="00B76687"/>
    <w:rPr>
      <w:color w:val="0563C1" w:themeColor="hyperlink"/>
      <w:u w:val="single"/>
    </w:rPr>
  </w:style>
  <w:style w:type="character" w:styleId="UnresolvedMention">
    <w:name w:val="Unresolved Mention"/>
    <w:basedOn w:val="DefaultParagraphFont"/>
    <w:uiPriority w:val="99"/>
    <w:semiHidden/>
    <w:unhideWhenUsed/>
    <w:rsid w:val="00B76687"/>
    <w:rPr>
      <w:color w:val="605E5C"/>
      <w:shd w:val="clear" w:color="auto" w:fill="E1DFDD"/>
    </w:rPr>
  </w:style>
  <w:style w:type="paragraph" w:styleId="NormalWeb">
    <w:name w:val="Normal (Web)"/>
    <w:basedOn w:val="Normal"/>
    <w:uiPriority w:val="99"/>
    <w:semiHidden/>
    <w:unhideWhenUsed/>
    <w:rsid w:val="00C7142D"/>
    <w:pPr>
      <w:spacing w:before="100" w:beforeAutospacing="1" w:after="100" w:afterAutospacing="1"/>
    </w:pPr>
    <w:rPr>
      <w:rFonts w:ascii="Times New Roman" w:eastAsia="Times New Roman" w:hAnsi="Times New Roman" w:cs="Times New Roman"/>
      <w:lang w:val="en-NZ" w:eastAsia="en-GB"/>
    </w:rPr>
  </w:style>
  <w:style w:type="character" w:styleId="FollowedHyperlink">
    <w:name w:val="FollowedHyperlink"/>
    <w:basedOn w:val="DefaultParagraphFont"/>
    <w:uiPriority w:val="99"/>
    <w:semiHidden/>
    <w:unhideWhenUsed/>
    <w:rsid w:val="008F626A"/>
    <w:rPr>
      <w:color w:val="954F72" w:themeColor="followedHyperlink"/>
      <w:u w:val="single"/>
    </w:rPr>
  </w:style>
  <w:style w:type="character" w:customStyle="1" w:styleId="Heading1Char">
    <w:name w:val="Heading 1 Char"/>
    <w:basedOn w:val="DefaultParagraphFont"/>
    <w:link w:val="Heading1"/>
    <w:uiPriority w:val="9"/>
    <w:rsid w:val="006C4D37"/>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E67F0B"/>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E01FF6"/>
    <w:pPr>
      <w:numPr>
        <w:numId w:val="0"/>
      </w:numPr>
      <w:spacing w:before="480" w:line="276" w:lineRule="auto"/>
      <w:outlineLvl w:val="9"/>
    </w:pPr>
    <w:rPr>
      <w:b/>
      <w:bCs/>
      <w:sz w:val="28"/>
      <w:szCs w:val="28"/>
      <w:lang w:val="en-US"/>
    </w:rPr>
  </w:style>
  <w:style w:type="numbering" w:styleId="1ai">
    <w:name w:val="Outline List 1"/>
    <w:basedOn w:val="NoList"/>
    <w:uiPriority w:val="99"/>
    <w:semiHidden/>
    <w:unhideWhenUsed/>
    <w:rsid w:val="00E67F0B"/>
    <w:pPr>
      <w:numPr>
        <w:numId w:val="3"/>
      </w:numPr>
    </w:pPr>
  </w:style>
  <w:style w:type="character" w:customStyle="1" w:styleId="Heading3Char">
    <w:name w:val="Heading 3 Char"/>
    <w:basedOn w:val="DefaultParagraphFont"/>
    <w:uiPriority w:val="9"/>
    <w:semiHidden/>
    <w:rsid w:val="00E67F0B"/>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uiPriority w:val="9"/>
    <w:semiHidden/>
    <w:rsid w:val="00E67F0B"/>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uiPriority w:val="9"/>
    <w:semiHidden/>
    <w:rsid w:val="00E67F0B"/>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uiPriority w:val="9"/>
    <w:semiHidden/>
    <w:rsid w:val="00E67F0B"/>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uiPriority w:val="9"/>
    <w:semiHidden/>
    <w:rsid w:val="00E67F0B"/>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uiPriority w:val="9"/>
    <w:semiHidden/>
    <w:rsid w:val="00E67F0B"/>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uiPriority w:val="9"/>
    <w:semiHidden/>
    <w:rsid w:val="00E67F0B"/>
    <w:rPr>
      <w:rFonts w:asciiTheme="majorHAnsi" w:eastAsiaTheme="majorEastAsia" w:hAnsiTheme="majorHAnsi" w:cstheme="majorBidi"/>
      <w:i/>
      <w:iCs/>
      <w:color w:val="272727" w:themeColor="text1" w:themeTint="D8"/>
      <w:sz w:val="21"/>
      <w:szCs w:val="21"/>
      <w:lang w:val="en-GB"/>
    </w:rPr>
  </w:style>
  <w:style w:type="character" w:customStyle="1" w:styleId="Heading3Char1">
    <w:name w:val="Heading 3 Char1"/>
    <w:basedOn w:val="DefaultParagraphFont"/>
    <w:link w:val="Heading3"/>
    <w:uiPriority w:val="9"/>
    <w:rsid w:val="005F2B73"/>
    <w:rPr>
      <w:rFonts w:asciiTheme="majorHAnsi" w:eastAsiaTheme="majorEastAsia" w:hAnsiTheme="majorHAnsi" w:cstheme="majorBidi"/>
      <w:color w:val="1F3763" w:themeColor="accent1" w:themeShade="7F"/>
      <w:lang w:val="en-GB"/>
    </w:rPr>
  </w:style>
  <w:style w:type="character" w:customStyle="1" w:styleId="Heading4Char1">
    <w:name w:val="Heading 4 Char1"/>
    <w:basedOn w:val="DefaultParagraphFont"/>
    <w:link w:val="Heading4"/>
    <w:uiPriority w:val="9"/>
    <w:semiHidden/>
    <w:rsid w:val="00E67F0B"/>
    <w:rPr>
      <w:rFonts w:asciiTheme="majorHAnsi" w:eastAsiaTheme="majorEastAsia" w:hAnsiTheme="majorHAnsi" w:cstheme="majorBidi"/>
      <w:i/>
      <w:iCs/>
      <w:color w:val="2F5496" w:themeColor="accent1" w:themeShade="BF"/>
      <w:lang w:val="en-GB"/>
    </w:rPr>
  </w:style>
  <w:style w:type="character" w:customStyle="1" w:styleId="Heading5Char1">
    <w:name w:val="Heading 5 Char1"/>
    <w:basedOn w:val="DefaultParagraphFont"/>
    <w:link w:val="Heading5"/>
    <w:uiPriority w:val="9"/>
    <w:semiHidden/>
    <w:rsid w:val="00E67F0B"/>
    <w:rPr>
      <w:rFonts w:asciiTheme="majorHAnsi" w:eastAsiaTheme="majorEastAsia" w:hAnsiTheme="majorHAnsi" w:cstheme="majorBidi"/>
      <w:color w:val="2F5496" w:themeColor="accent1" w:themeShade="BF"/>
      <w:lang w:val="en-GB"/>
    </w:rPr>
  </w:style>
  <w:style w:type="character" w:customStyle="1" w:styleId="Heading6Char1">
    <w:name w:val="Heading 6 Char1"/>
    <w:basedOn w:val="DefaultParagraphFont"/>
    <w:link w:val="Heading6"/>
    <w:uiPriority w:val="9"/>
    <w:semiHidden/>
    <w:rsid w:val="00E67F0B"/>
    <w:rPr>
      <w:rFonts w:asciiTheme="majorHAnsi" w:eastAsiaTheme="majorEastAsia" w:hAnsiTheme="majorHAnsi" w:cstheme="majorBidi"/>
      <w:color w:val="1F3763" w:themeColor="accent1" w:themeShade="7F"/>
      <w:lang w:val="en-GB"/>
    </w:rPr>
  </w:style>
  <w:style w:type="character" w:customStyle="1" w:styleId="Heading7Char1">
    <w:name w:val="Heading 7 Char1"/>
    <w:basedOn w:val="DefaultParagraphFont"/>
    <w:link w:val="Heading7"/>
    <w:uiPriority w:val="9"/>
    <w:semiHidden/>
    <w:rsid w:val="00E67F0B"/>
    <w:rPr>
      <w:rFonts w:asciiTheme="majorHAnsi" w:eastAsiaTheme="majorEastAsia" w:hAnsiTheme="majorHAnsi" w:cstheme="majorBidi"/>
      <w:i/>
      <w:iCs/>
      <w:color w:val="1F3763" w:themeColor="accent1" w:themeShade="7F"/>
      <w:lang w:val="en-GB"/>
    </w:rPr>
  </w:style>
  <w:style w:type="character" w:customStyle="1" w:styleId="Heading8Char1">
    <w:name w:val="Heading 8 Char1"/>
    <w:basedOn w:val="DefaultParagraphFont"/>
    <w:link w:val="Heading8"/>
    <w:uiPriority w:val="9"/>
    <w:semiHidden/>
    <w:rsid w:val="00E67F0B"/>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basedOn w:val="DefaultParagraphFont"/>
    <w:link w:val="Heading9"/>
    <w:uiPriority w:val="9"/>
    <w:semiHidden/>
    <w:rsid w:val="00E67F0B"/>
    <w:rPr>
      <w:rFonts w:asciiTheme="majorHAnsi" w:eastAsiaTheme="majorEastAsia" w:hAnsiTheme="majorHAnsi" w:cstheme="majorBidi"/>
      <w:i/>
      <w:iCs/>
      <w:color w:val="272727" w:themeColor="text1" w:themeTint="D8"/>
      <w:sz w:val="21"/>
      <w:szCs w:val="21"/>
      <w:lang w:val="en-GB"/>
    </w:rPr>
  </w:style>
  <w:style w:type="paragraph" w:styleId="TOC1">
    <w:name w:val="toc 1"/>
    <w:basedOn w:val="Normal"/>
    <w:next w:val="Normal"/>
    <w:autoRedefine/>
    <w:uiPriority w:val="39"/>
    <w:unhideWhenUsed/>
    <w:rsid w:val="00E01FF6"/>
    <w:pPr>
      <w:spacing w:before="360" w:after="360"/>
    </w:pPr>
    <w:rPr>
      <w:b/>
      <w:bCs/>
      <w:caps/>
      <w:sz w:val="22"/>
      <w:szCs w:val="22"/>
      <w:u w:val="single"/>
    </w:rPr>
  </w:style>
  <w:style w:type="paragraph" w:styleId="TOC2">
    <w:name w:val="toc 2"/>
    <w:basedOn w:val="Normal"/>
    <w:next w:val="Normal"/>
    <w:autoRedefine/>
    <w:uiPriority w:val="39"/>
    <w:unhideWhenUsed/>
    <w:rsid w:val="00E01FF6"/>
    <w:rPr>
      <w:b/>
      <w:bCs/>
      <w:smallCaps/>
      <w:sz w:val="22"/>
      <w:szCs w:val="22"/>
    </w:rPr>
  </w:style>
  <w:style w:type="paragraph" w:styleId="TOC3">
    <w:name w:val="toc 3"/>
    <w:basedOn w:val="Normal"/>
    <w:next w:val="Normal"/>
    <w:autoRedefine/>
    <w:uiPriority w:val="39"/>
    <w:unhideWhenUsed/>
    <w:rsid w:val="00E01FF6"/>
    <w:rPr>
      <w:smallCaps/>
      <w:sz w:val="22"/>
      <w:szCs w:val="22"/>
    </w:rPr>
  </w:style>
  <w:style w:type="paragraph" w:styleId="TOC4">
    <w:name w:val="toc 4"/>
    <w:basedOn w:val="Normal"/>
    <w:next w:val="Normal"/>
    <w:autoRedefine/>
    <w:uiPriority w:val="39"/>
    <w:semiHidden/>
    <w:unhideWhenUsed/>
    <w:rsid w:val="00E01FF6"/>
    <w:rPr>
      <w:sz w:val="22"/>
      <w:szCs w:val="22"/>
    </w:rPr>
  </w:style>
  <w:style w:type="paragraph" w:styleId="TOC5">
    <w:name w:val="toc 5"/>
    <w:basedOn w:val="Normal"/>
    <w:next w:val="Normal"/>
    <w:autoRedefine/>
    <w:uiPriority w:val="39"/>
    <w:semiHidden/>
    <w:unhideWhenUsed/>
    <w:rsid w:val="00E01FF6"/>
    <w:rPr>
      <w:sz w:val="22"/>
      <w:szCs w:val="22"/>
    </w:rPr>
  </w:style>
  <w:style w:type="paragraph" w:styleId="TOC6">
    <w:name w:val="toc 6"/>
    <w:basedOn w:val="Normal"/>
    <w:next w:val="Normal"/>
    <w:autoRedefine/>
    <w:uiPriority w:val="39"/>
    <w:semiHidden/>
    <w:unhideWhenUsed/>
    <w:rsid w:val="00E01FF6"/>
    <w:rPr>
      <w:sz w:val="22"/>
      <w:szCs w:val="22"/>
    </w:rPr>
  </w:style>
  <w:style w:type="paragraph" w:styleId="TOC7">
    <w:name w:val="toc 7"/>
    <w:basedOn w:val="Normal"/>
    <w:next w:val="Normal"/>
    <w:autoRedefine/>
    <w:uiPriority w:val="39"/>
    <w:semiHidden/>
    <w:unhideWhenUsed/>
    <w:rsid w:val="00E01FF6"/>
    <w:rPr>
      <w:sz w:val="22"/>
      <w:szCs w:val="22"/>
    </w:rPr>
  </w:style>
  <w:style w:type="paragraph" w:styleId="TOC8">
    <w:name w:val="toc 8"/>
    <w:basedOn w:val="Normal"/>
    <w:next w:val="Normal"/>
    <w:autoRedefine/>
    <w:uiPriority w:val="39"/>
    <w:semiHidden/>
    <w:unhideWhenUsed/>
    <w:rsid w:val="00E01FF6"/>
    <w:rPr>
      <w:sz w:val="22"/>
      <w:szCs w:val="22"/>
    </w:rPr>
  </w:style>
  <w:style w:type="paragraph" w:styleId="TOC9">
    <w:name w:val="toc 9"/>
    <w:basedOn w:val="Normal"/>
    <w:next w:val="Normal"/>
    <w:autoRedefine/>
    <w:uiPriority w:val="39"/>
    <w:semiHidden/>
    <w:unhideWhenUsed/>
    <w:rsid w:val="00E01FF6"/>
    <w:rPr>
      <w:sz w:val="22"/>
      <w:szCs w:val="22"/>
    </w:rPr>
  </w:style>
  <w:style w:type="paragraph" w:styleId="Revision">
    <w:name w:val="Revision"/>
    <w:hidden/>
    <w:uiPriority w:val="99"/>
    <w:semiHidden/>
    <w:rsid w:val="00A37705"/>
    <w:rPr>
      <w:lang w:val="en-GB"/>
    </w:rPr>
  </w:style>
  <w:style w:type="character" w:styleId="CommentReference">
    <w:name w:val="annotation reference"/>
    <w:basedOn w:val="DefaultParagraphFont"/>
    <w:uiPriority w:val="99"/>
    <w:semiHidden/>
    <w:unhideWhenUsed/>
    <w:rsid w:val="00B35DF6"/>
    <w:rPr>
      <w:sz w:val="16"/>
      <w:szCs w:val="16"/>
    </w:rPr>
  </w:style>
  <w:style w:type="paragraph" w:styleId="CommentText">
    <w:name w:val="annotation text"/>
    <w:basedOn w:val="Normal"/>
    <w:link w:val="CommentTextChar"/>
    <w:uiPriority w:val="99"/>
    <w:semiHidden/>
    <w:unhideWhenUsed/>
    <w:rsid w:val="00B35DF6"/>
    <w:rPr>
      <w:sz w:val="20"/>
      <w:szCs w:val="20"/>
    </w:rPr>
  </w:style>
  <w:style w:type="character" w:customStyle="1" w:styleId="CommentTextChar">
    <w:name w:val="Comment Text Char"/>
    <w:basedOn w:val="DefaultParagraphFont"/>
    <w:link w:val="CommentText"/>
    <w:uiPriority w:val="99"/>
    <w:semiHidden/>
    <w:rsid w:val="00B35DF6"/>
    <w:rPr>
      <w:sz w:val="20"/>
      <w:szCs w:val="20"/>
      <w:lang w:val="en-GB"/>
    </w:rPr>
  </w:style>
  <w:style w:type="paragraph" w:styleId="CommentSubject">
    <w:name w:val="annotation subject"/>
    <w:basedOn w:val="CommentText"/>
    <w:next w:val="CommentText"/>
    <w:link w:val="CommentSubjectChar"/>
    <w:uiPriority w:val="99"/>
    <w:semiHidden/>
    <w:unhideWhenUsed/>
    <w:rsid w:val="00B35DF6"/>
    <w:rPr>
      <w:b/>
      <w:bCs/>
    </w:rPr>
  </w:style>
  <w:style w:type="character" w:customStyle="1" w:styleId="CommentSubjectChar">
    <w:name w:val="Comment Subject Char"/>
    <w:basedOn w:val="CommentTextChar"/>
    <w:link w:val="CommentSubject"/>
    <w:uiPriority w:val="99"/>
    <w:semiHidden/>
    <w:rsid w:val="00B35DF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5153">
      <w:bodyDiv w:val="1"/>
      <w:marLeft w:val="0"/>
      <w:marRight w:val="0"/>
      <w:marTop w:val="0"/>
      <w:marBottom w:val="0"/>
      <w:divBdr>
        <w:top w:val="none" w:sz="0" w:space="0" w:color="auto"/>
        <w:left w:val="none" w:sz="0" w:space="0" w:color="auto"/>
        <w:bottom w:val="none" w:sz="0" w:space="0" w:color="auto"/>
        <w:right w:val="none" w:sz="0" w:space="0" w:color="auto"/>
      </w:divBdr>
    </w:div>
    <w:div w:id="445587659">
      <w:bodyDiv w:val="1"/>
      <w:marLeft w:val="0"/>
      <w:marRight w:val="0"/>
      <w:marTop w:val="0"/>
      <w:marBottom w:val="0"/>
      <w:divBdr>
        <w:top w:val="none" w:sz="0" w:space="0" w:color="auto"/>
        <w:left w:val="none" w:sz="0" w:space="0" w:color="auto"/>
        <w:bottom w:val="none" w:sz="0" w:space="0" w:color="auto"/>
        <w:right w:val="none" w:sz="0" w:space="0" w:color="auto"/>
      </w:divBdr>
    </w:div>
    <w:div w:id="485126398">
      <w:bodyDiv w:val="1"/>
      <w:marLeft w:val="0"/>
      <w:marRight w:val="0"/>
      <w:marTop w:val="0"/>
      <w:marBottom w:val="0"/>
      <w:divBdr>
        <w:top w:val="none" w:sz="0" w:space="0" w:color="auto"/>
        <w:left w:val="none" w:sz="0" w:space="0" w:color="auto"/>
        <w:bottom w:val="none" w:sz="0" w:space="0" w:color="auto"/>
        <w:right w:val="none" w:sz="0" w:space="0" w:color="auto"/>
      </w:divBdr>
    </w:div>
    <w:div w:id="532114557">
      <w:bodyDiv w:val="1"/>
      <w:marLeft w:val="0"/>
      <w:marRight w:val="0"/>
      <w:marTop w:val="0"/>
      <w:marBottom w:val="0"/>
      <w:divBdr>
        <w:top w:val="none" w:sz="0" w:space="0" w:color="auto"/>
        <w:left w:val="none" w:sz="0" w:space="0" w:color="auto"/>
        <w:bottom w:val="none" w:sz="0" w:space="0" w:color="auto"/>
        <w:right w:val="none" w:sz="0" w:space="0" w:color="auto"/>
      </w:divBdr>
    </w:div>
    <w:div w:id="571962324">
      <w:bodyDiv w:val="1"/>
      <w:marLeft w:val="0"/>
      <w:marRight w:val="0"/>
      <w:marTop w:val="0"/>
      <w:marBottom w:val="0"/>
      <w:divBdr>
        <w:top w:val="none" w:sz="0" w:space="0" w:color="auto"/>
        <w:left w:val="none" w:sz="0" w:space="0" w:color="auto"/>
        <w:bottom w:val="none" w:sz="0" w:space="0" w:color="auto"/>
        <w:right w:val="none" w:sz="0" w:space="0" w:color="auto"/>
      </w:divBdr>
    </w:div>
    <w:div w:id="900596110">
      <w:bodyDiv w:val="1"/>
      <w:marLeft w:val="0"/>
      <w:marRight w:val="0"/>
      <w:marTop w:val="0"/>
      <w:marBottom w:val="0"/>
      <w:divBdr>
        <w:top w:val="none" w:sz="0" w:space="0" w:color="auto"/>
        <w:left w:val="none" w:sz="0" w:space="0" w:color="auto"/>
        <w:bottom w:val="none" w:sz="0" w:space="0" w:color="auto"/>
        <w:right w:val="none" w:sz="0" w:space="0" w:color="auto"/>
      </w:divBdr>
    </w:div>
    <w:div w:id="949162126">
      <w:bodyDiv w:val="1"/>
      <w:marLeft w:val="0"/>
      <w:marRight w:val="0"/>
      <w:marTop w:val="0"/>
      <w:marBottom w:val="0"/>
      <w:divBdr>
        <w:top w:val="none" w:sz="0" w:space="0" w:color="auto"/>
        <w:left w:val="none" w:sz="0" w:space="0" w:color="auto"/>
        <w:bottom w:val="none" w:sz="0" w:space="0" w:color="auto"/>
        <w:right w:val="none" w:sz="0" w:space="0" w:color="auto"/>
      </w:divBdr>
    </w:div>
    <w:div w:id="959534556">
      <w:bodyDiv w:val="1"/>
      <w:marLeft w:val="0"/>
      <w:marRight w:val="0"/>
      <w:marTop w:val="0"/>
      <w:marBottom w:val="0"/>
      <w:divBdr>
        <w:top w:val="none" w:sz="0" w:space="0" w:color="auto"/>
        <w:left w:val="none" w:sz="0" w:space="0" w:color="auto"/>
        <w:bottom w:val="none" w:sz="0" w:space="0" w:color="auto"/>
        <w:right w:val="none" w:sz="0" w:space="0" w:color="auto"/>
      </w:divBdr>
    </w:div>
    <w:div w:id="1044907324">
      <w:bodyDiv w:val="1"/>
      <w:marLeft w:val="0"/>
      <w:marRight w:val="0"/>
      <w:marTop w:val="0"/>
      <w:marBottom w:val="0"/>
      <w:divBdr>
        <w:top w:val="none" w:sz="0" w:space="0" w:color="auto"/>
        <w:left w:val="none" w:sz="0" w:space="0" w:color="auto"/>
        <w:bottom w:val="none" w:sz="0" w:space="0" w:color="auto"/>
        <w:right w:val="none" w:sz="0" w:space="0" w:color="auto"/>
      </w:divBdr>
    </w:div>
    <w:div w:id="1138105555">
      <w:bodyDiv w:val="1"/>
      <w:marLeft w:val="0"/>
      <w:marRight w:val="0"/>
      <w:marTop w:val="0"/>
      <w:marBottom w:val="0"/>
      <w:divBdr>
        <w:top w:val="none" w:sz="0" w:space="0" w:color="auto"/>
        <w:left w:val="none" w:sz="0" w:space="0" w:color="auto"/>
        <w:bottom w:val="none" w:sz="0" w:space="0" w:color="auto"/>
        <w:right w:val="none" w:sz="0" w:space="0" w:color="auto"/>
      </w:divBdr>
    </w:div>
    <w:div w:id="1139687660">
      <w:bodyDiv w:val="1"/>
      <w:marLeft w:val="0"/>
      <w:marRight w:val="0"/>
      <w:marTop w:val="0"/>
      <w:marBottom w:val="0"/>
      <w:divBdr>
        <w:top w:val="none" w:sz="0" w:space="0" w:color="auto"/>
        <w:left w:val="none" w:sz="0" w:space="0" w:color="auto"/>
        <w:bottom w:val="none" w:sz="0" w:space="0" w:color="auto"/>
        <w:right w:val="none" w:sz="0" w:space="0" w:color="auto"/>
      </w:divBdr>
    </w:div>
    <w:div w:id="1154570787">
      <w:bodyDiv w:val="1"/>
      <w:marLeft w:val="0"/>
      <w:marRight w:val="0"/>
      <w:marTop w:val="0"/>
      <w:marBottom w:val="0"/>
      <w:divBdr>
        <w:top w:val="none" w:sz="0" w:space="0" w:color="auto"/>
        <w:left w:val="none" w:sz="0" w:space="0" w:color="auto"/>
        <w:bottom w:val="none" w:sz="0" w:space="0" w:color="auto"/>
        <w:right w:val="none" w:sz="0" w:space="0" w:color="auto"/>
      </w:divBdr>
    </w:div>
    <w:div w:id="1357388704">
      <w:bodyDiv w:val="1"/>
      <w:marLeft w:val="0"/>
      <w:marRight w:val="0"/>
      <w:marTop w:val="0"/>
      <w:marBottom w:val="0"/>
      <w:divBdr>
        <w:top w:val="none" w:sz="0" w:space="0" w:color="auto"/>
        <w:left w:val="none" w:sz="0" w:space="0" w:color="auto"/>
        <w:bottom w:val="none" w:sz="0" w:space="0" w:color="auto"/>
        <w:right w:val="none" w:sz="0" w:space="0" w:color="auto"/>
      </w:divBdr>
    </w:div>
    <w:div w:id="1643653108">
      <w:bodyDiv w:val="1"/>
      <w:marLeft w:val="0"/>
      <w:marRight w:val="0"/>
      <w:marTop w:val="0"/>
      <w:marBottom w:val="0"/>
      <w:divBdr>
        <w:top w:val="none" w:sz="0" w:space="0" w:color="auto"/>
        <w:left w:val="none" w:sz="0" w:space="0" w:color="auto"/>
        <w:bottom w:val="none" w:sz="0" w:space="0" w:color="auto"/>
        <w:right w:val="none" w:sz="0" w:space="0" w:color="auto"/>
      </w:divBdr>
    </w:div>
    <w:div w:id="1748110411">
      <w:bodyDiv w:val="1"/>
      <w:marLeft w:val="0"/>
      <w:marRight w:val="0"/>
      <w:marTop w:val="0"/>
      <w:marBottom w:val="0"/>
      <w:divBdr>
        <w:top w:val="none" w:sz="0" w:space="0" w:color="auto"/>
        <w:left w:val="none" w:sz="0" w:space="0" w:color="auto"/>
        <w:bottom w:val="none" w:sz="0" w:space="0" w:color="auto"/>
        <w:right w:val="none" w:sz="0" w:space="0" w:color="auto"/>
      </w:divBdr>
    </w:div>
    <w:div w:id="1822304209">
      <w:bodyDiv w:val="1"/>
      <w:marLeft w:val="0"/>
      <w:marRight w:val="0"/>
      <w:marTop w:val="0"/>
      <w:marBottom w:val="0"/>
      <w:divBdr>
        <w:top w:val="none" w:sz="0" w:space="0" w:color="auto"/>
        <w:left w:val="none" w:sz="0" w:space="0" w:color="auto"/>
        <w:bottom w:val="none" w:sz="0" w:space="0" w:color="auto"/>
        <w:right w:val="none" w:sz="0" w:space="0" w:color="auto"/>
      </w:divBdr>
    </w:div>
    <w:div w:id="1937706641">
      <w:bodyDiv w:val="1"/>
      <w:marLeft w:val="0"/>
      <w:marRight w:val="0"/>
      <w:marTop w:val="0"/>
      <w:marBottom w:val="0"/>
      <w:divBdr>
        <w:top w:val="none" w:sz="0" w:space="0" w:color="auto"/>
        <w:left w:val="none" w:sz="0" w:space="0" w:color="auto"/>
        <w:bottom w:val="none" w:sz="0" w:space="0" w:color="auto"/>
        <w:right w:val="none" w:sz="0" w:space="0" w:color="auto"/>
      </w:divBdr>
    </w:div>
    <w:div w:id="20225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s.govt.nz/news/one-in-10-workers-feels-discriminated-against-harassed-or-bullied-at-wor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pps.who.int/iris/bitstream/handle/10665/331699/WHO-SRH-20.04-eng.pdf?sequence=1&amp;isAllowed=y"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tats.govt.nz/news/one-in-10-workers-feels-discriminated-against-harassed-or-bullied-at-work" TargetMode="External"/><Relationship Id="rId1" Type="http://schemas.openxmlformats.org/officeDocument/2006/relationships/hyperlink" Target="https://www.psa.org.nz/media/releases/at-home-or-at-work-violence-is-never-ok-ratify-ilo-convention-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A9002-B773-C14D-A745-68D9863C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5904</Words>
  <Characters>33657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Gilchrist</dc:creator>
  <cp:keywords/>
  <dc:description/>
  <cp:lastModifiedBy>Maisy Bentley</cp:lastModifiedBy>
  <cp:revision>3</cp:revision>
  <dcterms:created xsi:type="dcterms:W3CDTF">2022-01-10T03:39:00Z</dcterms:created>
  <dcterms:modified xsi:type="dcterms:W3CDTF">2022-01-29T22:18:00Z</dcterms:modified>
</cp:coreProperties>
</file>